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74285B">
      <w:pPr>
        <w:keepNext/>
        <w:rPr>
          <w:b/>
        </w:rPr>
      </w:pPr>
      <w:r w:rsidRPr="000D79F0">
        <w:rPr>
          <w:b/>
        </w:rPr>
        <w:t>Purpose:</w:t>
      </w:r>
    </w:p>
    <w:p w:rsidR="00086830" w:rsidRDefault="0074285B" w:rsidP="00E764D4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 xml:space="preserve">describes </w:t>
      </w:r>
      <w:r w:rsidR="00735836">
        <w:rPr>
          <w:sz w:val="20"/>
          <w:szCs w:val="20"/>
        </w:rPr>
        <w:t xml:space="preserve">how to </w:t>
      </w:r>
      <w:r w:rsidR="00E764D4">
        <w:rPr>
          <w:sz w:val="20"/>
          <w:szCs w:val="20"/>
        </w:rPr>
        <w:t xml:space="preserve">create a metadata exchange format </w:t>
      </w:r>
      <w:r w:rsidR="003D253E">
        <w:rPr>
          <w:sz w:val="20"/>
          <w:szCs w:val="20"/>
        </w:rPr>
        <w:t xml:space="preserve">(mef) </w:t>
      </w:r>
      <w:r w:rsidR="00E764D4">
        <w:rPr>
          <w:sz w:val="20"/>
          <w:szCs w:val="20"/>
        </w:rPr>
        <w:t xml:space="preserve">package </w:t>
      </w:r>
      <w:r w:rsidR="003D253E">
        <w:rPr>
          <w:sz w:val="20"/>
          <w:szCs w:val="20"/>
        </w:rPr>
        <w:t xml:space="preserve">for loading </w:t>
      </w:r>
      <w:r w:rsidR="00086830">
        <w:rPr>
          <w:sz w:val="20"/>
          <w:szCs w:val="20"/>
        </w:rPr>
        <w:t xml:space="preserve">groups of metadata with accompanying files </w:t>
      </w:r>
      <w:r w:rsidR="003D253E">
        <w:rPr>
          <w:sz w:val="20"/>
          <w:szCs w:val="20"/>
        </w:rPr>
        <w:t>into GeoNetwork.</w:t>
      </w:r>
      <w:r w:rsidR="00086830">
        <w:rPr>
          <w:sz w:val="20"/>
          <w:szCs w:val="20"/>
        </w:rPr>
        <w:t xml:space="preserve">  There is sufficient detail required for the graphic overview and data files being added into the mef that it is best constructed programmatically.</w:t>
      </w:r>
    </w:p>
    <w:p w:rsidR="0074285B" w:rsidRDefault="00086830" w:rsidP="00E764D4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>Each metadata set in the</w:t>
      </w:r>
      <w:r w:rsidR="003D253E">
        <w:rPr>
          <w:sz w:val="20"/>
          <w:szCs w:val="20"/>
        </w:rPr>
        <w:t xml:space="preserve"> mef package </w:t>
      </w:r>
      <w:r w:rsidR="00E764D4">
        <w:rPr>
          <w:sz w:val="20"/>
          <w:szCs w:val="20"/>
        </w:rPr>
        <w:t>consist</w:t>
      </w:r>
      <w:r w:rsidR="003D253E">
        <w:rPr>
          <w:sz w:val="20"/>
          <w:szCs w:val="20"/>
        </w:rPr>
        <w:t>s</w:t>
      </w:r>
      <w:r w:rsidR="00E764D4">
        <w:rPr>
          <w:sz w:val="20"/>
          <w:szCs w:val="20"/>
        </w:rPr>
        <w:t xml:space="preserve"> of a metadata record, optional graphics files, optional data files, and an “info.xml” document describing the package contents.  It uses a custom python application (305-F05).</w:t>
      </w:r>
    </w:p>
    <w:tbl>
      <w:tblPr>
        <w:tblStyle w:val="TableGrid"/>
        <w:tblW w:w="8932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994"/>
        <w:gridCol w:w="4759"/>
        <w:gridCol w:w="3179"/>
      </w:tblGrid>
      <w:tr w:rsidR="000B100A" w:rsidTr="000B100A">
        <w:trPr>
          <w:trHeight w:val="454"/>
        </w:trPr>
        <w:tc>
          <w:tcPr>
            <w:tcW w:w="994" w:type="dxa"/>
            <w:hideMark/>
          </w:tcPr>
          <w:p w:rsidR="000B100A" w:rsidRDefault="000B100A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59" w:type="dxa"/>
            <w:hideMark/>
          </w:tcPr>
          <w:p w:rsidR="000B100A" w:rsidRDefault="000B100A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3179" w:type="dxa"/>
            <w:hideMark/>
          </w:tcPr>
          <w:p w:rsidR="000B100A" w:rsidRDefault="000B100A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245DC3" w:rsidTr="000B100A">
        <w:tc>
          <w:tcPr>
            <w:tcW w:w="994" w:type="dxa"/>
          </w:tcPr>
          <w:p w:rsidR="00245DC3" w:rsidRDefault="00245DC3" w:rsidP="00801D9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59" w:type="dxa"/>
          </w:tcPr>
          <w:p w:rsidR="00C23C53" w:rsidRDefault="00086830" w:rsidP="0044140B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a python shell</w:t>
            </w:r>
          </w:p>
        </w:tc>
        <w:tc>
          <w:tcPr>
            <w:tcW w:w="3179" w:type="dxa"/>
          </w:tcPr>
          <w:p w:rsidR="00C23C53" w:rsidRPr="00E764D4" w:rsidRDefault="00086830" w:rsidP="00E764D4">
            <w:pPr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ActivePython</w:t>
            </w:r>
            <w:proofErr w:type="spellEnd"/>
            <w:r>
              <w:rPr>
                <w:sz w:val="20"/>
                <w:szCs w:val="20"/>
              </w:rPr>
              <w:t xml:space="preserve"> is one example of a suitable shell.  It has a graphical user interface</w:t>
            </w:r>
          </w:p>
        </w:tc>
      </w:tr>
      <w:tr w:rsidR="00245DC3" w:rsidTr="000B100A">
        <w:tc>
          <w:tcPr>
            <w:tcW w:w="994" w:type="dxa"/>
          </w:tcPr>
          <w:p w:rsidR="00245DC3" w:rsidRDefault="00C23C53" w:rsidP="00801D9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59" w:type="dxa"/>
          </w:tcPr>
          <w:p w:rsidR="00735836" w:rsidRDefault="00086830" w:rsidP="00E764D4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the python application</w:t>
            </w:r>
          </w:p>
          <w:p w:rsidR="00086830" w:rsidRPr="00086830" w:rsidRDefault="00086830" w:rsidP="00086830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– open - …</w:t>
            </w:r>
          </w:p>
        </w:tc>
        <w:tc>
          <w:tcPr>
            <w:tcW w:w="3179" w:type="dxa"/>
          </w:tcPr>
          <w:p w:rsidR="00245DC3" w:rsidRPr="00E764D4" w:rsidRDefault="00086830" w:rsidP="00621A6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is listed in 30</w:t>
            </w:r>
            <w:r w:rsidR="007F07D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-F0</w:t>
            </w:r>
            <w:r w:rsidR="00621A65">
              <w:rPr>
                <w:sz w:val="20"/>
                <w:szCs w:val="20"/>
              </w:rPr>
              <w:t>3</w:t>
            </w:r>
            <w:bookmarkStart w:id="0" w:name="_GoBack"/>
            <w:bookmarkEnd w:id="0"/>
          </w:p>
        </w:tc>
      </w:tr>
      <w:tr w:rsidR="00245DC3" w:rsidTr="000B100A">
        <w:tc>
          <w:tcPr>
            <w:tcW w:w="994" w:type="dxa"/>
          </w:tcPr>
          <w:p w:rsidR="00245DC3" w:rsidRDefault="00C23C53" w:rsidP="00801D9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59" w:type="dxa"/>
          </w:tcPr>
          <w:p w:rsidR="00735836" w:rsidRPr="00E764D4" w:rsidRDefault="00086830" w:rsidP="002C6370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the paths, following the expected folder structure mentioned in processes 30</w:t>
            </w:r>
            <w:r w:rsidR="002C6370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-0</w:t>
            </w:r>
            <w:r w:rsidR="002C63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and </w:t>
            </w:r>
            <w:r w:rsidR="002C6370">
              <w:rPr>
                <w:sz w:val="20"/>
                <w:szCs w:val="20"/>
              </w:rPr>
              <w:t>307</w:t>
            </w:r>
            <w:r>
              <w:rPr>
                <w:sz w:val="20"/>
                <w:szCs w:val="20"/>
              </w:rPr>
              <w:t>-0</w:t>
            </w:r>
            <w:r w:rsidR="002C6370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179" w:type="dxa"/>
          </w:tcPr>
          <w:p w:rsidR="003C041D" w:rsidRPr="00E764D4" w:rsidRDefault="003C041D" w:rsidP="00E764D4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E764D4" w:rsidTr="000B100A">
        <w:trPr>
          <w:cantSplit/>
        </w:trPr>
        <w:tc>
          <w:tcPr>
            <w:tcW w:w="994" w:type="dxa"/>
          </w:tcPr>
          <w:p w:rsidR="00E764D4" w:rsidRDefault="00E764D4" w:rsidP="00801D9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59" w:type="dxa"/>
          </w:tcPr>
          <w:p w:rsidR="00E764D4" w:rsidRPr="00E764D4" w:rsidRDefault="00086830" w:rsidP="00E764D4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the site name convention and the site UUID</w:t>
            </w:r>
          </w:p>
        </w:tc>
        <w:tc>
          <w:tcPr>
            <w:tcW w:w="3179" w:type="dxa"/>
          </w:tcPr>
          <w:p w:rsidR="00E764D4" w:rsidRDefault="00E764D4" w:rsidP="00801D91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245DC3" w:rsidTr="000B100A">
        <w:trPr>
          <w:cantSplit/>
        </w:trPr>
        <w:tc>
          <w:tcPr>
            <w:tcW w:w="994" w:type="dxa"/>
          </w:tcPr>
          <w:p w:rsidR="00245DC3" w:rsidRDefault="005D4E6A" w:rsidP="00801D9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59" w:type="dxa"/>
          </w:tcPr>
          <w:p w:rsidR="00CF0646" w:rsidRDefault="00086830" w:rsidP="00E764D4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the application</w:t>
            </w:r>
            <w:r w:rsidR="00E97D9A">
              <w:rPr>
                <w:sz w:val="20"/>
                <w:szCs w:val="20"/>
              </w:rPr>
              <w:t>.  Outputs are:</w:t>
            </w:r>
          </w:p>
          <w:p w:rsidR="00086830" w:rsidRDefault="00E97D9A" w:rsidP="00086830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time feedback on-screen</w:t>
            </w:r>
          </w:p>
          <w:p w:rsidR="00E97D9A" w:rsidRDefault="00E97D9A" w:rsidP="00086830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metadata package will be formed in </w:t>
            </w:r>
            <w:proofErr w:type="spellStart"/>
            <w:r>
              <w:rPr>
                <w:sz w:val="20"/>
                <w:szCs w:val="20"/>
              </w:rPr>
              <w:t>tmp</w:t>
            </w:r>
            <w:proofErr w:type="spellEnd"/>
            <w:r>
              <w:rPr>
                <w:sz w:val="20"/>
                <w:szCs w:val="20"/>
              </w:rPr>
              <w:t>, consecutively</w:t>
            </w:r>
          </w:p>
          <w:p w:rsidR="00E97D9A" w:rsidRPr="00086830" w:rsidRDefault="00E97D9A" w:rsidP="00086830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log file and the final mef package (called &lt;something&gt;.zip) will be placed in the mef folder</w:t>
            </w:r>
          </w:p>
        </w:tc>
        <w:tc>
          <w:tcPr>
            <w:tcW w:w="3179" w:type="dxa"/>
          </w:tcPr>
          <w:p w:rsidR="00245DC3" w:rsidRDefault="00245DC3" w:rsidP="00801D91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245DC3" w:rsidTr="000B100A">
        <w:tc>
          <w:tcPr>
            <w:tcW w:w="994" w:type="dxa"/>
          </w:tcPr>
          <w:p w:rsidR="00245DC3" w:rsidRDefault="00CF0646" w:rsidP="00801D9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59" w:type="dxa"/>
          </w:tcPr>
          <w:p w:rsidR="00CF0646" w:rsidRDefault="00E97D9A" w:rsidP="00E97D9A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 may be noted on-screen or in the log:</w:t>
            </w:r>
          </w:p>
          <w:p w:rsidR="00E97D9A" w:rsidRDefault="00E97D9A" w:rsidP="00E97D9A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 errors</w:t>
            </w:r>
          </w:p>
          <w:p w:rsidR="00E97D9A" w:rsidRDefault="00E97D9A" w:rsidP="00E97D9A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thumbnails when expected</w:t>
            </w:r>
          </w:p>
          <w:p w:rsidR="00E97D9A" w:rsidRDefault="00E97D9A" w:rsidP="00E97D9A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data when expected</w:t>
            </w:r>
          </w:p>
          <w:p w:rsidR="00E97D9A" w:rsidRPr="00E97D9A" w:rsidRDefault="00E97D9A" w:rsidP="00E97D9A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and correct</w:t>
            </w:r>
          </w:p>
        </w:tc>
        <w:tc>
          <w:tcPr>
            <w:tcW w:w="3179" w:type="dxa"/>
          </w:tcPr>
          <w:p w:rsidR="00CF0646" w:rsidRPr="00E764D4" w:rsidRDefault="00CF0646" w:rsidP="00E764D4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245DC3" w:rsidTr="000B100A">
        <w:tc>
          <w:tcPr>
            <w:tcW w:w="994" w:type="dxa"/>
          </w:tcPr>
          <w:p w:rsidR="00245DC3" w:rsidRDefault="00284056" w:rsidP="00801D9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759" w:type="dxa"/>
          </w:tcPr>
          <w:p w:rsidR="00284056" w:rsidRDefault="00E97D9A" w:rsidP="00E764D4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the resulting mef is less than 100 MB</w:t>
            </w:r>
          </w:p>
          <w:p w:rsidR="00E97D9A" w:rsidRPr="00E97D9A" w:rsidRDefault="00E97D9A" w:rsidP="00E97D9A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not, split into one or more packages using the partial results from the </w:t>
            </w:r>
            <w:proofErr w:type="spellStart"/>
            <w:r>
              <w:rPr>
                <w:sz w:val="20"/>
                <w:szCs w:val="20"/>
              </w:rPr>
              <w:t>tmp</w:t>
            </w:r>
            <w:proofErr w:type="spellEnd"/>
            <w:r>
              <w:rPr>
                <w:sz w:val="20"/>
                <w:szCs w:val="20"/>
              </w:rPr>
              <w:t xml:space="preserve"> folder</w:t>
            </w:r>
          </w:p>
        </w:tc>
        <w:tc>
          <w:tcPr>
            <w:tcW w:w="3179" w:type="dxa"/>
          </w:tcPr>
          <w:p w:rsidR="00284056" w:rsidRPr="00E764D4" w:rsidRDefault="00E97D9A" w:rsidP="00E764D4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100MB limit can be changed, but it is probably a reasonable size for upload.</w:t>
            </w:r>
          </w:p>
        </w:tc>
      </w:tr>
      <w:tr w:rsidR="002C6370" w:rsidTr="000B100A">
        <w:tc>
          <w:tcPr>
            <w:tcW w:w="994" w:type="dxa"/>
          </w:tcPr>
          <w:p w:rsidR="002C6370" w:rsidRDefault="002C6370" w:rsidP="00801D9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759" w:type="dxa"/>
          </w:tcPr>
          <w:p w:rsidR="002C6370" w:rsidRDefault="002C6370" w:rsidP="00E764D4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MEF to GeoNetwork</w:t>
            </w:r>
          </w:p>
        </w:tc>
        <w:tc>
          <w:tcPr>
            <w:tcW w:w="3179" w:type="dxa"/>
          </w:tcPr>
          <w:p w:rsidR="002C6370" w:rsidRDefault="002C6370" w:rsidP="00E764D4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 process 305-06</w:t>
            </w:r>
          </w:p>
        </w:tc>
      </w:tr>
    </w:tbl>
    <w:p w:rsidR="0074285B" w:rsidRPr="00801D91" w:rsidRDefault="0074285B" w:rsidP="00801D91">
      <w:pPr>
        <w:spacing w:after="0" w:line="240" w:lineRule="auto"/>
        <w:rPr>
          <w:sz w:val="12"/>
          <w:szCs w:val="20"/>
        </w:rPr>
      </w:pPr>
    </w:p>
    <w:sectPr w:rsidR="0074285B" w:rsidRPr="00801D9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4A4" w:rsidRDefault="00B664A4">
      <w:r>
        <w:separator/>
      </w:r>
    </w:p>
  </w:endnote>
  <w:endnote w:type="continuationSeparator" w:id="0">
    <w:p w:rsidR="00B664A4" w:rsidRDefault="00B66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18"/>
      <w:gridCol w:w="4550"/>
      <w:gridCol w:w="1862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CF0646" w:rsidP="00E97D9A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Terry Curran, P.Eng. / 201</w:t>
          </w:r>
          <w:r w:rsidR="00E97D9A">
            <w:rPr>
              <w:color w:val="000000" w:themeColor="text1"/>
              <w:sz w:val="20"/>
              <w:szCs w:val="20"/>
            </w:rPr>
            <w:t>5-02-26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21A6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21A6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4A4" w:rsidRDefault="00B664A4">
      <w:r>
        <w:separator/>
      </w:r>
    </w:p>
  </w:footnote>
  <w:footnote w:type="continuationSeparator" w:id="0">
    <w:p w:rsidR="00B664A4" w:rsidRDefault="00B66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2485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1D4C92" w:rsidRDefault="00654EA8" w:rsidP="00654EA8">
          <w:pPr>
            <w:pStyle w:val="Header"/>
            <w:jc w:val="center"/>
          </w:pPr>
          <w:r>
            <w:t>Create mef</w:t>
          </w:r>
          <w:r w:rsidR="00735836" w:rsidRPr="00735836">
            <w:t xml:space="preserve"> </w:t>
          </w:r>
          <w:r w:rsidR="00B70323">
            <w:t xml:space="preserve">packages </w:t>
          </w:r>
          <w:r>
            <w:t>for</w:t>
          </w:r>
          <w:r w:rsidR="00735836" w:rsidRPr="00735836">
            <w:t xml:space="preserve"> </w:t>
          </w:r>
          <w:r w:rsidR="00404B3A">
            <w:t>GeoNetwork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21030A" w:rsidP="007F07D4">
          <w:pPr>
            <w:pStyle w:val="Header"/>
            <w:jc w:val="center"/>
          </w:pPr>
          <w:r>
            <w:t>30</w:t>
          </w:r>
          <w:r w:rsidR="007F07D4">
            <w:t>7</w:t>
          </w:r>
          <w:r>
            <w:t>-0</w:t>
          </w:r>
          <w:r w:rsidR="007F07D4">
            <w:t>3</w:t>
          </w:r>
        </w:p>
      </w:tc>
    </w:tr>
  </w:tbl>
  <w:p w:rsidR="001D4C92" w:rsidRDefault="001D4C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C5F72"/>
    <w:multiLevelType w:val="hybridMultilevel"/>
    <w:tmpl w:val="4F9C973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DF3305"/>
    <w:multiLevelType w:val="hybridMultilevel"/>
    <w:tmpl w:val="0622B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D3467"/>
    <w:multiLevelType w:val="hybridMultilevel"/>
    <w:tmpl w:val="458222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1C0BB3"/>
    <w:multiLevelType w:val="hybridMultilevel"/>
    <w:tmpl w:val="0E6CC0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B658C8"/>
    <w:multiLevelType w:val="hybridMultilevel"/>
    <w:tmpl w:val="7E7E3C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A0FA2"/>
    <w:multiLevelType w:val="hybridMultilevel"/>
    <w:tmpl w:val="99ACD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12"/>
  </w:num>
  <w:num w:numId="7">
    <w:abstractNumId w:val="8"/>
  </w:num>
  <w:num w:numId="8">
    <w:abstractNumId w:val="4"/>
  </w:num>
  <w:num w:numId="9">
    <w:abstractNumId w:val="11"/>
  </w:num>
  <w:num w:numId="10">
    <w:abstractNumId w:val="3"/>
  </w:num>
  <w:num w:numId="11">
    <w:abstractNumId w:val="10"/>
  </w:num>
  <w:num w:numId="12">
    <w:abstractNumId w:val="9"/>
  </w:num>
  <w:num w:numId="1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30430"/>
    <w:rsid w:val="000435DB"/>
    <w:rsid w:val="0006169B"/>
    <w:rsid w:val="00072546"/>
    <w:rsid w:val="0008650A"/>
    <w:rsid w:val="00086830"/>
    <w:rsid w:val="000904E2"/>
    <w:rsid w:val="000B0B0D"/>
    <w:rsid w:val="000B100A"/>
    <w:rsid w:val="000B70D1"/>
    <w:rsid w:val="000D79F0"/>
    <w:rsid w:val="000F2795"/>
    <w:rsid w:val="0012759D"/>
    <w:rsid w:val="001278C8"/>
    <w:rsid w:val="00153BBE"/>
    <w:rsid w:val="00154DBA"/>
    <w:rsid w:val="001613CC"/>
    <w:rsid w:val="001748D5"/>
    <w:rsid w:val="00176FBD"/>
    <w:rsid w:val="001A5D2A"/>
    <w:rsid w:val="001D4C92"/>
    <w:rsid w:val="0021030A"/>
    <w:rsid w:val="002322A1"/>
    <w:rsid w:val="00245DC3"/>
    <w:rsid w:val="00262081"/>
    <w:rsid w:val="00266EF7"/>
    <w:rsid w:val="00267C05"/>
    <w:rsid w:val="002743A1"/>
    <w:rsid w:val="00284056"/>
    <w:rsid w:val="00292E08"/>
    <w:rsid w:val="002C6370"/>
    <w:rsid w:val="002D4CCB"/>
    <w:rsid w:val="002D7ACB"/>
    <w:rsid w:val="002F44AA"/>
    <w:rsid w:val="00357888"/>
    <w:rsid w:val="00392D9E"/>
    <w:rsid w:val="003948A6"/>
    <w:rsid w:val="003A7E05"/>
    <w:rsid w:val="003C041D"/>
    <w:rsid w:val="003C758D"/>
    <w:rsid w:val="003D253E"/>
    <w:rsid w:val="003F6511"/>
    <w:rsid w:val="004016CC"/>
    <w:rsid w:val="00404B3A"/>
    <w:rsid w:val="00415F9A"/>
    <w:rsid w:val="00417FAD"/>
    <w:rsid w:val="004275A9"/>
    <w:rsid w:val="0044140B"/>
    <w:rsid w:val="00445DAA"/>
    <w:rsid w:val="00455FE8"/>
    <w:rsid w:val="0048227F"/>
    <w:rsid w:val="004A610A"/>
    <w:rsid w:val="004A7F66"/>
    <w:rsid w:val="00506868"/>
    <w:rsid w:val="00510C05"/>
    <w:rsid w:val="00514CC2"/>
    <w:rsid w:val="00560073"/>
    <w:rsid w:val="00587876"/>
    <w:rsid w:val="005961CE"/>
    <w:rsid w:val="00596715"/>
    <w:rsid w:val="005B480C"/>
    <w:rsid w:val="005B7D7A"/>
    <w:rsid w:val="005D1884"/>
    <w:rsid w:val="005D4E6A"/>
    <w:rsid w:val="006150CD"/>
    <w:rsid w:val="00621A65"/>
    <w:rsid w:val="00637401"/>
    <w:rsid w:val="00654EA8"/>
    <w:rsid w:val="00657810"/>
    <w:rsid w:val="00663297"/>
    <w:rsid w:val="006B076D"/>
    <w:rsid w:val="00711163"/>
    <w:rsid w:val="00716664"/>
    <w:rsid w:val="00724017"/>
    <w:rsid w:val="0072625D"/>
    <w:rsid w:val="00735836"/>
    <w:rsid w:val="0074285B"/>
    <w:rsid w:val="007777B9"/>
    <w:rsid w:val="0078280F"/>
    <w:rsid w:val="007B3D27"/>
    <w:rsid w:val="007B4AFD"/>
    <w:rsid w:val="007C50BF"/>
    <w:rsid w:val="007F07D4"/>
    <w:rsid w:val="00801D91"/>
    <w:rsid w:val="008273EB"/>
    <w:rsid w:val="00837ECB"/>
    <w:rsid w:val="008608BE"/>
    <w:rsid w:val="00864306"/>
    <w:rsid w:val="00892F9A"/>
    <w:rsid w:val="008A366E"/>
    <w:rsid w:val="008A4D65"/>
    <w:rsid w:val="008D4CE7"/>
    <w:rsid w:val="008E70FF"/>
    <w:rsid w:val="00912C19"/>
    <w:rsid w:val="009450F6"/>
    <w:rsid w:val="00951128"/>
    <w:rsid w:val="009768B2"/>
    <w:rsid w:val="00984858"/>
    <w:rsid w:val="009C1821"/>
    <w:rsid w:val="009D7E5E"/>
    <w:rsid w:val="00A06EDE"/>
    <w:rsid w:val="00A14294"/>
    <w:rsid w:val="00A23614"/>
    <w:rsid w:val="00A41F2F"/>
    <w:rsid w:val="00A5606A"/>
    <w:rsid w:val="00A713B9"/>
    <w:rsid w:val="00A74476"/>
    <w:rsid w:val="00AD3A54"/>
    <w:rsid w:val="00AD5CA5"/>
    <w:rsid w:val="00AE348E"/>
    <w:rsid w:val="00AE3E31"/>
    <w:rsid w:val="00AF081A"/>
    <w:rsid w:val="00B2457D"/>
    <w:rsid w:val="00B3213A"/>
    <w:rsid w:val="00B41510"/>
    <w:rsid w:val="00B51388"/>
    <w:rsid w:val="00B63CF1"/>
    <w:rsid w:val="00B664A4"/>
    <w:rsid w:val="00B70323"/>
    <w:rsid w:val="00B735FC"/>
    <w:rsid w:val="00BA043F"/>
    <w:rsid w:val="00BA14EC"/>
    <w:rsid w:val="00BB0468"/>
    <w:rsid w:val="00BB6CE0"/>
    <w:rsid w:val="00BD38D0"/>
    <w:rsid w:val="00BE249A"/>
    <w:rsid w:val="00BF34A9"/>
    <w:rsid w:val="00BF7909"/>
    <w:rsid w:val="00C062B8"/>
    <w:rsid w:val="00C079CE"/>
    <w:rsid w:val="00C07B41"/>
    <w:rsid w:val="00C11728"/>
    <w:rsid w:val="00C23C31"/>
    <w:rsid w:val="00C23C53"/>
    <w:rsid w:val="00C5051C"/>
    <w:rsid w:val="00C6122A"/>
    <w:rsid w:val="00C636AB"/>
    <w:rsid w:val="00C65B26"/>
    <w:rsid w:val="00C85F87"/>
    <w:rsid w:val="00CB5205"/>
    <w:rsid w:val="00CC108C"/>
    <w:rsid w:val="00CE041F"/>
    <w:rsid w:val="00CE0FD5"/>
    <w:rsid w:val="00CE5C42"/>
    <w:rsid w:val="00CF0646"/>
    <w:rsid w:val="00D55320"/>
    <w:rsid w:val="00D6374B"/>
    <w:rsid w:val="00D724D2"/>
    <w:rsid w:val="00D76FAE"/>
    <w:rsid w:val="00D80BD6"/>
    <w:rsid w:val="00DC66BB"/>
    <w:rsid w:val="00DD1745"/>
    <w:rsid w:val="00DD4BEA"/>
    <w:rsid w:val="00DE25CD"/>
    <w:rsid w:val="00DE39C7"/>
    <w:rsid w:val="00DF2042"/>
    <w:rsid w:val="00E059D3"/>
    <w:rsid w:val="00E30EB8"/>
    <w:rsid w:val="00E402DB"/>
    <w:rsid w:val="00E5286D"/>
    <w:rsid w:val="00E675CA"/>
    <w:rsid w:val="00E74D0F"/>
    <w:rsid w:val="00E764D4"/>
    <w:rsid w:val="00E97D9A"/>
    <w:rsid w:val="00EB6BD9"/>
    <w:rsid w:val="00ED26D2"/>
    <w:rsid w:val="00EE36A2"/>
    <w:rsid w:val="00EF3D86"/>
    <w:rsid w:val="00F103A9"/>
    <w:rsid w:val="00F63BFE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7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B16DD-CEDD-404C-97D1-58E7276DC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15</cp:revision>
  <cp:lastPrinted>2013-10-06T20:30:00Z</cp:lastPrinted>
  <dcterms:created xsi:type="dcterms:W3CDTF">2015-02-22T23:55:00Z</dcterms:created>
  <dcterms:modified xsi:type="dcterms:W3CDTF">2015-03-23T23:26:00Z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