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4A7F66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>how to load metadata</w:t>
      </w:r>
      <w:r w:rsidR="0044140B">
        <w:rPr>
          <w:sz w:val="20"/>
          <w:szCs w:val="20"/>
        </w:rPr>
        <w:t xml:space="preserve"> into a GeoNetwork server</w:t>
      </w:r>
      <w:r w:rsidR="00245DC3">
        <w:rPr>
          <w:sz w:val="20"/>
          <w:szCs w:val="20"/>
        </w:rPr>
        <w:t>.</w:t>
      </w:r>
      <w:r w:rsidRPr="0074285B">
        <w:rPr>
          <w:sz w:val="20"/>
          <w:szCs w:val="20"/>
        </w:rPr>
        <w:t xml:space="preserve"> </w:t>
      </w:r>
    </w:p>
    <w:p w:rsidR="0074285B" w:rsidRDefault="00BB6CE0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general description is thoroughly described in the GeoNetwork </w:t>
      </w:r>
      <w:r w:rsidR="00404B3A">
        <w:rPr>
          <w:sz w:val="20"/>
          <w:szCs w:val="20"/>
        </w:rPr>
        <w:t>User’s Manual</w:t>
      </w:r>
      <w:r>
        <w:rPr>
          <w:sz w:val="20"/>
          <w:szCs w:val="20"/>
        </w:rPr>
        <w:t xml:space="preserve"> (</w:t>
      </w:r>
      <w:r w:rsidR="0044140B">
        <w:t>search web for the lates</w:t>
      </w:r>
      <w:r w:rsidR="006479CA">
        <w:t>t version: “GeoNetwork User Man</w:t>
      </w:r>
      <w:r w:rsidR="0044140B">
        <w:t>ual”</w:t>
      </w:r>
      <w:r>
        <w:rPr>
          <w:sz w:val="20"/>
          <w:szCs w:val="20"/>
        </w:rPr>
        <w:t>)</w:t>
      </w:r>
      <w:r w:rsidR="0012759D">
        <w:rPr>
          <w:sz w:val="20"/>
          <w:szCs w:val="20"/>
        </w:rPr>
        <w:t xml:space="preserve">. </w:t>
      </w:r>
      <w:r w:rsidR="0044140B">
        <w:rPr>
          <w:sz w:val="20"/>
          <w:szCs w:val="20"/>
        </w:rPr>
        <w:t xml:space="preserve"> This process is to provide an abbreviated step-by-step.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94"/>
        <w:gridCol w:w="4759"/>
        <w:gridCol w:w="3179"/>
      </w:tblGrid>
      <w:tr w:rsidR="00D33B94" w:rsidTr="00D33B94">
        <w:trPr>
          <w:trHeight w:val="454"/>
          <w:tblHeader/>
        </w:trPr>
        <w:tc>
          <w:tcPr>
            <w:tcW w:w="994" w:type="dxa"/>
            <w:hideMark/>
          </w:tcPr>
          <w:p w:rsidR="00D33B94" w:rsidRDefault="00D33B94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59" w:type="dxa"/>
            <w:hideMark/>
          </w:tcPr>
          <w:p w:rsidR="00D33B94" w:rsidRDefault="00D33B94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179" w:type="dxa"/>
            <w:hideMark/>
          </w:tcPr>
          <w:p w:rsidR="00D33B94" w:rsidRDefault="00D33B94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D33B94">
        <w:tc>
          <w:tcPr>
            <w:tcW w:w="994" w:type="dxa"/>
          </w:tcPr>
          <w:p w:rsidR="00245DC3" w:rsidRDefault="00245DC3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9" w:type="dxa"/>
          </w:tcPr>
          <w:p w:rsidR="00C23C53" w:rsidRDefault="00C23C53" w:rsidP="0044140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 browser to connect to</w:t>
            </w:r>
            <w:r w:rsidR="0044140B">
              <w:rPr>
                <w:sz w:val="20"/>
                <w:szCs w:val="20"/>
              </w:rPr>
              <w:t xml:space="preserve"> GeoNetwork</w:t>
            </w:r>
          </w:p>
        </w:tc>
        <w:tc>
          <w:tcPr>
            <w:tcW w:w="3179" w:type="dxa"/>
          </w:tcPr>
          <w:p w:rsidR="00C23C53" w:rsidRPr="00C23C53" w:rsidRDefault="0044140B" w:rsidP="0044140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 must be known</w:t>
            </w:r>
          </w:p>
        </w:tc>
      </w:tr>
      <w:tr w:rsidR="00245DC3" w:rsidTr="00D33B94">
        <w:tc>
          <w:tcPr>
            <w:tcW w:w="994" w:type="dxa"/>
          </w:tcPr>
          <w:p w:rsidR="00245DC3" w:rsidRDefault="00C23C53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9" w:type="dxa"/>
          </w:tcPr>
          <w:p w:rsidR="00245DC3" w:rsidRDefault="00735836" w:rsidP="00801D9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 w:rsidRPr="00735836">
              <w:rPr>
                <w:sz w:val="20"/>
                <w:szCs w:val="20"/>
              </w:rPr>
              <w:t>Provide ID and password</w:t>
            </w:r>
          </w:p>
          <w:p w:rsidR="00735836" w:rsidRPr="00735836" w:rsidRDefault="00735836" w:rsidP="00801D91">
            <w:pPr>
              <w:pStyle w:val="ListParagraph"/>
              <w:numPr>
                <w:ilvl w:val="0"/>
                <w:numId w:val="1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735836">
              <w:rPr>
                <w:b/>
                <w:sz w:val="20"/>
                <w:szCs w:val="20"/>
              </w:rPr>
              <w:t>Administration</w:t>
            </w:r>
            <w:r>
              <w:rPr>
                <w:sz w:val="20"/>
                <w:szCs w:val="20"/>
              </w:rPr>
              <w:t xml:space="preserve"> tab should appear next to the </w:t>
            </w:r>
            <w:r w:rsidRPr="00735836">
              <w:rPr>
                <w:b/>
                <w:sz w:val="20"/>
                <w:szCs w:val="20"/>
              </w:rPr>
              <w:t>Home</w:t>
            </w:r>
            <w:r>
              <w:rPr>
                <w:sz w:val="20"/>
                <w:szCs w:val="20"/>
              </w:rPr>
              <w:t xml:space="preserve"> tab</w:t>
            </w:r>
          </w:p>
        </w:tc>
        <w:tc>
          <w:tcPr>
            <w:tcW w:w="3179" w:type="dxa"/>
          </w:tcPr>
          <w:p w:rsidR="00245DC3" w:rsidRPr="005D4E6A" w:rsidRDefault="00735836" w:rsidP="00801D9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ID and PW is </w:t>
            </w:r>
            <w:r w:rsidR="00C23C53" w:rsidRPr="005D4E6A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to access</w:t>
            </w:r>
            <w:r w:rsidR="00C23C53" w:rsidRPr="005D4E6A">
              <w:rPr>
                <w:sz w:val="20"/>
                <w:szCs w:val="20"/>
              </w:rPr>
              <w:t xml:space="preserve"> administrative functions</w:t>
            </w:r>
          </w:p>
        </w:tc>
      </w:tr>
      <w:tr w:rsidR="00245DC3" w:rsidTr="00D33B94">
        <w:tc>
          <w:tcPr>
            <w:tcW w:w="994" w:type="dxa"/>
          </w:tcPr>
          <w:p w:rsidR="00245DC3" w:rsidRDefault="00C23C53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9" w:type="dxa"/>
          </w:tcPr>
          <w:p w:rsidR="00245DC3" w:rsidRDefault="00735836" w:rsidP="00801D91">
            <w:pPr>
              <w:pStyle w:val="ListParagraph"/>
              <w:numPr>
                <w:ilvl w:val="0"/>
                <w:numId w:val="3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the </w:t>
            </w:r>
            <w:r w:rsidRPr="00735836">
              <w:rPr>
                <w:b/>
                <w:sz w:val="20"/>
                <w:szCs w:val="20"/>
              </w:rPr>
              <w:t>Administration</w:t>
            </w:r>
            <w:r>
              <w:rPr>
                <w:sz w:val="20"/>
                <w:szCs w:val="20"/>
              </w:rPr>
              <w:t xml:space="preserve"> tab</w:t>
            </w:r>
          </w:p>
          <w:p w:rsidR="00735836" w:rsidRPr="00735836" w:rsidRDefault="00735836" w:rsidP="00801D91">
            <w:pPr>
              <w:pStyle w:val="ListParagraph"/>
              <w:numPr>
                <w:ilvl w:val="0"/>
                <w:numId w:val="3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the </w:t>
            </w:r>
            <w:r w:rsidRPr="00735836">
              <w:rPr>
                <w:b/>
                <w:sz w:val="20"/>
                <w:szCs w:val="20"/>
              </w:rPr>
              <w:t>Metadata insert</w:t>
            </w:r>
            <w:r>
              <w:rPr>
                <w:sz w:val="20"/>
                <w:szCs w:val="20"/>
              </w:rPr>
              <w:t xml:space="preserve"> tab</w:t>
            </w:r>
          </w:p>
        </w:tc>
        <w:tc>
          <w:tcPr>
            <w:tcW w:w="3179" w:type="dxa"/>
          </w:tcPr>
          <w:p w:rsidR="00912C19" w:rsidRDefault="00735836" w:rsidP="00801D9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 w:rsidR="00912C19">
              <w:rPr>
                <w:sz w:val="20"/>
                <w:szCs w:val="20"/>
              </w:rPr>
              <w:t xml:space="preserve">e metadata insert section </w:t>
            </w:r>
            <w:r>
              <w:rPr>
                <w:sz w:val="20"/>
                <w:szCs w:val="20"/>
              </w:rPr>
              <w:t>allow</w:t>
            </w:r>
            <w:r w:rsidR="00912C1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insertion of </w:t>
            </w:r>
          </w:p>
          <w:p w:rsidR="00912C19" w:rsidRDefault="00735836" w:rsidP="00801D91">
            <w:pPr>
              <w:pStyle w:val="ListParagraph"/>
              <w:numPr>
                <w:ilvl w:val="1"/>
                <w:numId w:val="1"/>
              </w:numPr>
              <w:spacing w:before="60" w:after="60"/>
              <w:ind w:left="7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individual metadata record in xml format, or </w:t>
            </w:r>
          </w:p>
          <w:p w:rsidR="00912C19" w:rsidRDefault="00735836" w:rsidP="00801D91">
            <w:pPr>
              <w:pStyle w:val="ListParagraph"/>
              <w:numPr>
                <w:ilvl w:val="1"/>
                <w:numId w:val="1"/>
              </w:numPr>
              <w:spacing w:before="60" w:after="60"/>
              <w:ind w:left="7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one</w:t>
            </w:r>
            <w:proofErr w:type="gramEnd"/>
            <w:r>
              <w:rPr>
                <w:sz w:val="20"/>
                <w:szCs w:val="20"/>
              </w:rPr>
              <w:t xml:space="preserve"> or more metadata records (optionally pl</w:t>
            </w:r>
            <w:r w:rsidR="003C041D">
              <w:rPr>
                <w:sz w:val="20"/>
                <w:szCs w:val="20"/>
              </w:rPr>
              <w:t>us thumbnails and data files) in</w:t>
            </w:r>
            <w:r>
              <w:rPr>
                <w:sz w:val="20"/>
                <w:szCs w:val="20"/>
              </w:rPr>
              <w:t xml:space="preserve"> a batch load</w:t>
            </w:r>
            <w:r w:rsidR="003C041D">
              <w:rPr>
                <w:sz w:val="20"/>
                <w:szCs w:val="20"/>
              </w:rPr>
              <w:t>.</w:t>
            </w:r>
          </w:p>
          <w:p w:rsidR="003C041D" w:rsidRPr="00912C19" w:rsidRDefault="003C041D" w:rsidP="00801D9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This latter format is called </w:t>
            </w:r>
            <w:r w:rsidRPr="00912C19">
              <w:rPr>
                <w:b/>
                <w:sz w:val="20"/>
                <w:szCs w:val="20"/>
              </w:rPr>
              <w:t>metadata exchange format</w:t>
            </w:r>
            <w:r>
              <w:rPr>
                <w:sz w:val="20"/>
                <w:szCs w:val="20"/>
              </w:rPr>
              <w:t xml:space="preserve"> (mef)</w:t>
            </w:r>
            <w:r w:rsidR="00404B3A">
              <w:rPr>
                <w:sz w:val="20"/>
                <w:szCs w:val="20"/>
              </w:rPr>
              <w:t>, and is a structured zip file</w:t>
            </w:r>
            <w:r>
              <w:rPr>
                <w:sz w:val="20"/>
                <w:szCs w:val="20"/>
              </w:rPr>
              <w:t>.</w:t>
            </w:r>
            <w:r w:rsidR="00404B3A">
              <w:rPr>
                <w:sz w:val="20"/>
                <w:szCs w:val="20"/>
              </w:rPr>
              <w:t xml:space="preserve">  This is a recommended input format.</w:t>
            </w:r>
          </w:p>
        </w:tc>
      </w:tr>
      <w:tr w:rsidR="00245DC3" w:rsidTr="00D33B94">
        <w:trPr>
          <w:cantSplit/>
        </w:trPr>
        <w:tc>
          <w:tcPr>
            <w:tcW w:w="994" w:type="dxa"/>
          </w:tcPr>
          <w:p w:rsidR="00245DC3" w:rsidRDefault="005D4E6A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9" w:type="dxa"/>
          </w:tcPr>
          <w:p w:rsidR="00CF0646" w:rsidRDefault="00CF0646" w:rsidP="00801D91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mode: </w:t>
            </w:r>
          </w:p>
          <w:p w:rsidR="00CF0646" w:rsidRDefault="00CF0646" w:rsidP="00801D91">
            <w:pPr>
              <w:pStyle w:val="ListParagraph"/>
              <w:numPr>
                <w:ilvl w:val="1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or </w:t>
            </w:r>
          </w:p>
          <w:p w:rsidR="00CF0646" w:rsidRPr="00EF3D86" w:rsidRDefault="00CF0646" w:rsidP="00801D91">
            <w:pPr>
              <w:pStyle w:val="ListParagraph"/>
              <w:numPr>
                <w:ilvl w:val="1"/>
                <w:numId w:val="1"/>
              </w:numPr>
              <w:spacing w:before="60" w:after="60"/>
              <w:ind w:left="107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Copy/Paste</w:t>
            </w:r>
          </w:p>
        </w:tc>
        <w:tc>
          <w:tcPr>
            <w:tcW w:w="3179" w:type="dxa"/>
          </w:tcPr>
          <w:p w:rsidR="00E74D0F" w:rsidRPr="00E5286D" w:rsidRDefault="00E74D0F" w:rsidP="00E5286D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245DC3" w:rsidTr="00D33B94">
        <w:trPr>
          <w:cantSplit/>
        </w:trPr>
        <w:tc>
          <w:tcPr>
            <w:tcW w:w="994" w:type="dxa"/>
          </w:tcPr>
          <w:p w:rsidR="00245DC3" w:rsidRDefault="005D4E6A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9" w:type="dxa"/>
          </w:tcPr>
          <w:p w:rsidR="005D4E6A" w:rsidRDefault="00CF0646" w:rsidP="00801D9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File, select</w:t>
            </w:r>
          </w:p>
          <w:p w:rsidR="00CF0646" w:rsidRDefault="00CF0646" w:rsidP="00801D91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File, or</w:t>
            </w:r>
          </w:p>
          <w:p w:rsidR="00CF0646" w:rsidRDefault="00CF0646" w:rsidP="00801D91">
            <w:pPr>
              <w:pStyle w:val="ListParagraph"/>
              <w:numPr>
                <w:ilvl w:val="1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MEF</w:t>
            </w:r>
          </w:p>
          <w:p w:rsidR="00CF0646" w:rsidRPr="005D4E6A" w:rsidRDefault="00CF0646" w:rsidP="00801D91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local storage for desired file, and select</w:t>
            </w:r>
          </w:p>
        </w:tc>
        <w:tc>
          <w:tcPr>
            <w:tcW w:w="3179" w:type="dxa"/>
          </w:tcPr>
          <w:p w:rsidR="00245DC3" w:rsidRDefault="00245DC3" w:rsidP="00801D91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245DC3" w:rsidTr="00F751BA">
        <w:trPr>
          <w:cantSplit/>
        </w:trPr>
        <w:tc>
          <w:tcPr>
            <w:tcW w:w="994" w:type="dxa"/>
          </w:tcPr>
          <w:p w:rsidR="00245DC3" w:rsidRDefault="00CF0646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4759" w:type="dxa"/>
          </w:tcPr>
          <w:p w:rsidR="00245DC3" w:rsidRDefault="00CF0646" w:rsidP="00801D91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sz w:val="20"/>
                <w:szCs w:val="20"/>
              </w:rPr>
            </w:pPr>
            <w:r w:rsidRPr="00CF0646">
              <w:rPr>
                <w:sz w:val="20"/>
                <w:szCs w:val="20"/>
              </w:rPr>
              <w:t>S</w:t>
            </w:r>
            <w:bookmarkStart w:id="0" w:name="_GoBack"/>
            <w:bookmarkEnd w:id="0"/>
            <w:r w:rsidRPr="00CF0646">
              <w:rPr>
                <w:sz w:val="20"/>
                <w:szCs w:val="20"/>
              </w:rPr>
              <w:t>elect desired Import</w:t>
            </w:r>
            <w:r>
              <w:rPr>
                <w:sz w:val="20"/>
                <w:szCs w:val="20"/>
              </w:rPr>
              <w:t xml:space="preserve"> action</w:t>
            </w:r>
            <w:r w:rsidRPr="00CF0646">
              <w:rPr>
                <w:sz w:val="20"/>
                <w:szCs w:val="20"/>
              </w:rPr>
              <w:t>:</w:t>
            </w:r>
          </w:p>
          <w:p w:rsidR="00CF0646" w:rsidRDefault="00CF0646" w:rsidP="00801D91">
            <w:pPr>
              <w:pStyle w:val="ListParagraph"/>
              <w:numPr>
                <w:ilvl w:val="1"/>
                <w:numId w:val="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action on import</w:t>
            </w:r>
          </w:p>
          <w:p w:rsidR="00CF0646" w:rsidRDefault="00CF0646" w:rsidP="00801D91">
            <w:pPr>
              <w:pStyle w:val="ListParagraph"/>
              <w:numPr>
                <w:ilvl w:val="1"/>
                <w:numId w:val="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Overwrite metadata with same UUID</w:t>
            </w:r>
          </w:p>
          <w:p w:rsidR="00CF0646" w:rsidRPr="00CF0646" w:rsidRDefault="00CF0646" w:rsidP="00801D91">
            <w:pPr>
              <w:pStyle w:val="ListParagraph"/>
              <w:numPr>
                <w:ilvl w:val="1"/>
                <w:numId w:val="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UUID for inserted metadata</w:t>
            </w:r>
          </w:p>
          <w:p w:rsidR="00CF0646" w:rsidRDefault="00CF0646" w:rsidP="00801D91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179" w:type="dxa"/>
          </w:tcPr>
          <w:p w:rsidR="00245DC3" w:rsidRDefault="00CF0646" w:rsidP="00801D9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situation</w:t>
            </w:r>
          </w:p>
          <w:p w:rsidR="00CF0646" w:rsidRDefault="008D4CE7" w:rsidP="00801D9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</w:t>
            </w:r>
            <w:r w:rsidR="00CF0646">
              <w:rPr>
                <w:sz w:val="20"/>
                <w:szCs w:val="20"/>
              </w:rPr>
              <w:t>if replacing metadata after some changes</w:t>
            </w:r>
          </w:p>
          <w:p w:rsidR="00CF0646" w:rsidRPr="00CF0646" w:rsidRDefault="008D4CE7" w:rsidP="00801D91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</w:t>
            </w:r>
            <w:r w:rsidR="00CF0646">
              <w:rPr>
                <w:sz w:val="20"/>
                <w:szCs w:val="20"/>
              </w:rPr>
              <w:t xml:space="preserve"> if </w:t>
            </w:r>
            <w:r w:rsidR="00284056">
              <w:rPr>
                <w:sz w:val="20"/>
                <w:szCs w:val="20"/>
              </w:rPr>
              <w:t>for some reason there is an existing record with the same UUID and a different metadata record is desired to be loaded.  This can happen if a metadata record is being cloned, then slightly modified.  This is not a preferred action, but can occur.</w:t>
            </w:r>
          </w:p>
        </w:tc>
      </w:tr>
      <w:tr w:rsidR="00245DC3" w:rsidTr="00D33B94">
        <w:tc>
          <w:tcPr>
            <w:tcW w:w="994" w:type="dxa"/>
          </w:tcPr>
          <w:p w:rsidR="00245DC3" w:rsidRDefault="00284056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59" w:type="dxa"/>
          </w:tcPr>
          <w:p w:rsidR="00245DC3" w:rsidRPr="00284056" w:rsidRDefault="00284056" w:rsidP="00801D91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sz w:val="20"/>
                <w:szCs w:val="20"/>
              </w:rPr>
            </w:pPr>
            <w:r w:rsidRPr="00284056">
              <w:rPr>
                <w:sz w:val="20"/>
                <w:szCs w:val="20"/>
              </w:rPr>
              <w:t>If a single metadata record is being added, then select</w:t>
            </w:r>
          </w:p>
          <w:p w:rsidR="00284056" w:rsidRDefault="008A366E" w:rsidP="00801D91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Stylesheet</w:t>
            </w:r>
          </w:p>
          <w:p w:rsidR="00284056" w:rsidRDefault="00284056" w:rsidP="00801D91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</w:t>
            </w:r>
          </w:p>
          <w:p w:rsidR="00284056" w:rsidRDefault="00284056" w:rsidP="00801D91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</w:t>
            </w:r>
          </w:p>
          <w:p w:rsidR="00284056" w:rsidRDefault="00284056" w:rsidP="00801D91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</w:p>
          <w:p w:rsidR="00284056" w:rsidRDefault="00284056" w:rsidP="00801D91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  <w:p w:rsidR="00284056" w:rsidRPr="00284056" w:rsidRDefault="00BB6CE0" w:rsidP="00801D91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MEF, these choices are already determined in the MEF info.xml</w:t>
            </w:r>
          </w:p>
        </w:tc>
        <w:tc>
          <w:tcPr>
            <w:tcW w:w="3179" w:type="dxa"/>
          </w:tcPr>
          <w:p w:rsidR="00245DC3" w:rsidRPr="00284056" w:rsidRDefault="008D4CE7" w:rsidP="00801D91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Normally </w:t>
            </w:r>
            <w:r w:rsidR="00284056" w:rsidRPr="00284056">
              <w:rPr>
                <w:b/>
                <w:sz w:val="20"/>
                <w:szCs w:val="20"/>
              </w:rPr>
              <w:t>none</w:t>
            </w:r>
          </w:p>
          <w:p w:rsidR="00284056" w:rsidRDefault="008D4CE7" w:rsidP="00801D91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 w:rsidRPr="00284056">
              <w:rPr>
                <w:sz w:val="20"/>
                <w:szCs w:val="20"/>
              </w:rPr>
              <w:t xml:space="preserve">Useful </w:t>
            </w:r>
            <w:r w:rsidR="00284056">
              <w:rPr>
                <w:sz w:val="20"/>
                <w:szCs w:val="20"/>
              </w:rPr>
              <w:t xml:space="preserve">to </w:t>
            </w:r>
            <w:r w:rsidR="00284056" w:rsidRPr="00284056">
              <w:rPr>
                <w:b/>
                <w:sz w:val="20"/>
                <w:szCs w:val="20"/>
              </w:rPr>
              <w:t>check</w:t>
            </w:r>
            <w:r w:rsidR="00284056">
              <w:rPr>
                <w:sz w:val="20"/>
                <w:szCs w:val="20"/>
              </w:rPr>
              <w:t xml:space="preserve"> </w:t>
            </w:r>
            <w:r w:rsidR="00284056" w:rsidRPr="00284056">
              <w:rPr>
                <w:sz w:val="20"/>
                <w:szCs w:val="20"/>
              </w:rPr>
              <w:t xml:space="preserve">to thoroughly </w:t>
            </w:r>
            <w:r w:rsidR="00284056">
              <w:rPr>
                <w:sz w:val="20"/>
                <w:szCs w:val="20"/>
              </w:rPr>
              <w:t xml:space="preserve">determine </w:t>
            </w:r>
            <w:r w:rsidR="00284056" w:rsidRPr="00284056">
              <w:rPr>
                <w:sz w:val="20"/>
                <w:szCs w:val="20"/>
              </w:rPr>
              <w:t>metadata validit</w:t>
            </w:r>
            <w:r w:rsidR="00284056">
              <w:rPr>
                <w:sz w:val="20"/>
                <w:szCs w:val="20"/>
              </w:rPr>
              <w:t>y.  The server applies schematr</w:t>
            </w:r>
            <w:r w:rsidR="00284056" w:rsidRPr="00284056">
              <w:rPr>
                <w:sz w:val="20"/>
                <w:szCs w:val="20"/>
              </w:rPr>
              <w:t>on checks that are in addition to the schema validation.</w:t>
            </w:r>
          </w:p>
          <w:p w:rsidR="00284056" w:rsidRPr="00284056" w:rsidRDefault="00284056" w:rsidP="00801D91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Normally </w:t>
            </w:r>
            <w:r w:rsidRPr="00284056">
              <w:rPr>
                <w:b/>
                <w:sz w:val="20"/>
                <w:szCs w:val="20"/>
              </w:rPr>
              <w:t>metadata</w:t>
            </w:r>
          </w:p>
          <w:p w:rsidR="00284056" w:rsidRDefault="00284056" w:rsidP="00801D91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 w:rsidRPr="00284056">
              <w:rPr>
                <w:sz w:val="20"/>
                <w:szCs w:val="20"/>
              </w:rPr>
              <w:t>As desired, from the choices previously established</w:t>
            </w:r>
          </w:p>
          <w:p w:rsidR="00284056" w:rsidRPr="00284056" w:rsidRDefault="00284056" w:rsidP="00801D91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Normally </w:t>
            </w:r>
            <w:r w:rsidRPr="00284056">
              <w:rPr>
                <w:b/>
                <w:sz w:val="20"/>
                <w:szCs w:val="20"/>
              </w:rPr>
              <w:t>dataset</w:t>
            </w:r>
            <w:r w:rsidRPr="00284056">
              <w:rPr>
                <w:sz w:val="20"/>
                <w:szCs w:val="20"/>
              </w:rPr>
              <w:t>, although many choices are possible</w:t>
            </w:r>
          </w:p>
        </w:tc>
      </w:tr>
      <w:tr w:rsidR="00245DC3" w:rsidTr="00D33B94">
        <w:tc>
          <w:tcPr>
            <w:tcW w:w="994" w:type="dxa"/>
          </w:tcPr>
          <w:p w:rsidR="00245DC3" w:rsidRDefault="00BB6CE0" w:rsidP="00801D9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759" w:type="dxa"/>
          </w:tcPr>
          <w:p w:rsidR="00245DC3" w:rsidRPr="00BB6CE0" w:rsidRDefault="00BB6CE0" w:rsidP="00801D9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sz w:val="20"/>
                <w:szCs w:val="20"/>
              </w:rPr>
            </w:pPr>
            <w:r w:rsidRPr="00BB6CE0">
              <w:rPr>
                <w:b/>
                <w:sz w:val="20"/>
                <w:szCs w:val="20"/>
              </w:rPr>
              <w:t>Insert</w:t>
            </w:r>
            <w:r>
              <w:rPr>
                <w:sz w:val="20"/>
                <w:szCs w:val="20"/>
              </w:rPr>
              <w:t xml:space="preserve"> record</w:t>
            </w:r>
          </w:p>
        </w:tc>
        <w:tc>
          <w:tcPr>
            <w:tcW w:w="3179" w:type="dxa"/>
          </w:tcPr>
          <w:p w:rsidR="00245DC3" w:rsidRPr="00801D91" w:rsidRDefault="00801D91" w:rsidP="00801D91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 this can take seconds to many minutes.  You should look for a subtle “</w:t>
            </w:r>
            <w:proofErr w:type="spellStart"/>
            <w:r>
              <w:rPr>
                <w:sz w:val="20"/>
                <w:szCs w:val="20"/>
              </w:rPr>
              <w:t>beeble</w:t>
            </w:r>
            <w:proofErr w:type="spellEnd"/>
            <w:r>
              <w:rPr>
                <w:sz w:val="20"/>
                <w:szCs w:val="20"/>
              </w:rPr>
              <w:t>” indicator indicating the application is actively working.</w:t>
            </w:r>
          </w:p>
        </w:tc>
      </w:tr>
      <w:tr w:rsidR="00801D91" w:rsidTr="00D33B94">
        <w:tc>
          <w:tcPr>
            <w:tcW w:w="994" w:type="dxa"/>
          </w:tcPr>
          <w:p w:rsidR="00801D91" w:rsidRDefault="00801D91" w:rsidP="007B3632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59" w:type="dxa"/>
          </w:tcPr>
          <w:p w:rsidR="00801D91" w:rsidRPr="0012759D" w:rsidRDefault="00801D91" w:rsidP="007B3632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sz w:val="20"/>
                <w:szCs w:val="20"/>
              </w:rPr>
            </w:pPr>
            <w:r w:rsidRPr="0012759D">
              <w:rPr>
                <w:sz w:val="20"/>
                <w:szCs w:val="20"/>
              </w:rPr>
              <w:t xml:space="preserve">If error, change </w:t>
            </w:r>
          </w:p>
          <w:p w:rsidR="00801D91" w:rsidRDefault="00801D91" w:rsidP="007B3632">
            <w:pPr>
              <w:pStyle w:val="ListParagraph"/>
              <w:numPr>
                <w:ilvl w:val="1"/>
                <w:numId w:val="8"/>
              </w:numPr>
              <w:spacing w:before="60" w:after="60"/>
              <w:rPr>
                <w:sz w:val="20"/>
                <w:szCs w:val="20"/>
              </w:rPr>
            </w:pPr>
            <w:r w:rsidRPr="00BB6CE0">
              <w:rPr>
                <w:sz w:val="20"/>
                <w:szCs w:val="20"/>
              </w:rPr>
              <w:t>metadata record</w:t>
            </w:r>
            <w:r>
              <w:rPr>
                <w:sz w:val="20"/>
                <w:szCs w:val="20"/>
              </w:rPr>
              <w:t>,</w:t>
            </w:r>
            <w:r w:rsidRPr="00BB6CE0">
              <w:rPr>
                <w:sz w:val="20"/>
                <w:szCs w:val="20"/>
              </w:rPr>
              <w:t xml:space="preserve"> or </w:t>
            </w:r>
          </w:p>
          <w:p w:rsidR="00801D91" w:rsidRDefault="00801D91" w:rsidP="007B3632">
            <w:pPr>
              <w:pStyle w:val="ListParagraph"/>
              <w:numPr>
                <w:ilvl w:val="1"/>
                <w:numId w:val="8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</w:t>
            </w:r>
            <w:r w:rsidRPr="00BB6CE0">
              <w:rPr>
                <w:sz w:val="20"/>
                <w:szCs w:val="20"/>
              </w:rPr>
              <w:t>choices</w:t>
            </w:r>
          </w:p>
          <w:p w:rsidR="00801D91" w:rsidRPr="00BB6CE0" w:rsidRDefault="00801D91" w:rsidP="007B3632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sz w:val="20"/>
                <w:szCs w:val="20"/>
              </w:rPr>
            </w:pPr>
            <w:r w:rsidRPr="00BB6CE0">
              <w:rPr>
                <w:sz w:val="20"/>
                <w:szCs w:val="20"/>
              </w:rPr>
              <w:t>re-enter</w:t>
            </w:r>
          </w:p>
        </w:tc>
        <w:tc>
          <w:tcPr>
            <w:tcW w:w="3179" w:type="dxa"/>
          </w:tcPr>
          <w:p w:rsidR="00801D91" w:rsidRDefault="00801D91" w:rsidP="007B3632"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619" w:rsidRDefault="00262619">
      <w:r>
        <w:separator/>
      </w:r>
    </w:p>
  </w:endnote>
  <w:endnote w:type="continuationSeparator" w:id="0">
    <w:p w:rsidR="00262619" w:rsidRDefault="0026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751BA">
      <w:trPr>
        <w:cantSplit/>
      </w:trPr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CF0646" w:rsidP="00F751BA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F751BA">
            <w:rPr>
              <w:color w:val="000000" w:themeColor="text1"/>
              <w:sz w:val="20"/>
              <w:szCs w:val="20"/>
            </w:rPr>
            <w:t>2019-09-10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751B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751B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619" w:rsidRDefault="00262619">
      <w:r>
        <w:separator/>
      </w:r>
    </w:p>
  </w:footnote>
  <w:footnote w:type="continuationSeparator" w:id="0">
    <w:p w:rsidR="00262619" w:rsidRDefault="00262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735836" w:rsidP="00404B3A">
          <w:pPr>
            <w:pStyle w:val="Header"/>
            <w:jc w:val="center"/>
          </w:pPr>
          <w:r w:rsidRPr="00735836">
            <w:t xml:space="preserve">Load metadata </w:t>
          </w:r>
          <w:r w:rsidR="009824CA">
            <w:t xml:space="preserve">packages </w:t>
          </w:r>
          <w:r w:rsidRPr="00735836">
            <w:t xml:space="preserve">into </w:t>
          </w:r>
          <w:r w:rsidR="00404B3A">
            <w:t>GeoNetwork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F751BA" w:rsidP="0003565D">
          <w:pPr>
            <w:pStyle w:val="Header"/>
            <w:jc w:val="center"/>
          </w:pPr>
          <w:r>
            <w:t>330-04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4F9C97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D3467"/>
    <w:multiLevelType w:val="hybridMultilevel"/>
    <w:tmpl w:val="458222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1C0BB3"/>
    <w:multiLevelType w:val="hybridMultilevel"/>
    <w:tmpl w:val="0E6CC0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3565D"/>
    <w:rsid w:val="000435DB"/>
    <w:rsid w:val="0006169B"/>
    <w:rsid w:val="0008650A"/>
    <w:rsid w:val="000904E2"/>
    <w:rsid w:val="000B0B0D"/>
    <w:rsid w:val="000B70D1"/>
    <w:rsid w:val="000D79F0"/>
    <w:rsid w:val="000F2795"/>
    <w:rsid w:val="0012759D"/>
    <w:rsid w:val="001278C8"/>
    <w:rsid w:val="00152140"/>
    <w:rsid w:val="00153BBE"/>
    <w:rsid w:val="00154DBA"/>
    <w:rsid w:val="001613CC"/>
    <w:rsid w:val="001748D5"/>
    <w:rsid w:val="00176FBD"/>
    <w:rsid w:val="001A5D2A"/>
    <w:rsid w:val="001D4C92"/>
    <w:rsid w:val="0021030A"/>
    <w:rsid w:val="002322A1"/>
    <w:rsid w:val="00245DC3"/>
    <w:rsid w:val="00262081"/>
    <w:rsid w:val="00262619"/>
    <w:rsid w:val="00266EF7"/>
    <w:rsid w:val="002743A1"/>
    <w:rsid w:val="00284056"/>
    <w:rsid w:val="00292E08"/>
    <w:rsid w:val="002D4CCB"/>
    <w:rsid w:val="002D7ACB"/>
    <w:rsid w:val="00357888"/>
    <w:rsid w:val="00392D9E"/>
    <w:rsid w:val="003948A6"/>
    <w:rsid w:val="003A7E05"/>
    <w:rsid w:val="003C041D"/>
    <w:rsid w:val="003C758D"/>
    <w:rsid w:val="003F6511"/>
    <w:rsid w:val="00404B3A"/>
    <w:rsid w:val="00417FAD"/>
    <w:rsid w:val="004275A9"/>
    <w:rsid w:val="00432152"/>
    <w:rsid w:val="0044140B"/>
    <w:rsid w:val="00445DAA"/>
    <w:rsid w:val="00455FE8"/>
    <w:rsid w:val="0047038B"/>
    <w:rsid w:val="0048227F"/>
    <w:rsid w:val="004A610A"/>
    <w:rsid w:val="004A7F66"/>
    <w:rsid w:val="00510C05"/>
    <w:rsid w:val="00514CC2"/>
    <w:rsid w:val="00587876"/>
    <w:rsid w:val="005961CE"/>
    <w:rsid w:val="005B480C"/>
    <w:rsid w:val="005B7D7A"/>
    <w:rsid w:val="005D1884"/>
    <w:rsid w:val="005D4E6A"/>
    <w:rsid w:val="006150CD"/>
    <w:rsid w:val="00637401"/>
    <w:rsid w:val="006479CA"/>
    <w:rsid w:val="00657810"/>
    <w:rsid w:val="00661F24"/>
    <w:rsid w:val="00663297"/>
    <w:rsid w:val="00671DD0"/>
    <w:rsid w:val="00711163"/>
    <w:rsid w:val="00724017"/>
    <w:rsid w:val="0072625D"/>
    <w:rsid w:val="00735836"/>
    <w:rsid w:val="0074285B"/>
    <w:rsid w:val="007777B9"/>
    <w:rsid w:val="0078280F"/>
    <w:rsid w:val="007B3D27"/>
    <w:rsid w:val="007B4AFD"/>
    <w:rsid w:val="00801D91"/>
    <w:rsid w:val="008273EB"/>
    <w:rsid w:val="00837ECB"/>
    <w:rsid w:val="008608BE"/>
    <w:rsid w:val="00864306"/>
    <w:rsid w:val="00892F9A"/>
    <w:rsid w:val="008A366E"/>
    <w:rsid w:val="008A4D65"/>
    <w:rsid w:val="008D4CE7"/>
    <w:rsid w:val="008E70FF"/>
    <w:rsid w:val="00912C19"/>
    <w:rsid w:val="009450F6"/>
    <w:rsid w:val="00951128"/>
    <w:rsid w:val="009768B2"/>
    <w:rsid w:val="009824CA"/>
    <w:rsid w:val="00984858"/>
    <w:rsid w:val="009C1821"/>
    <w:rsid w:val="009D7E5E"/>
    <w:rsid w:val="00A06EDE"/>
    <w:rsid w:val="00A13EA5"/>
    <w:rsid w:val="00A14294"/>
    <w:rsid w:val="00A23614"/>
    <w:rsid w:val="00A41F2F"/>
    <w:rsid w:val="00A5606A"/>
    <w:rsid w:val="00A713B9"/>
    <w:rsid w:val="00A74476"/>
    <w:rsid w:val="00AD3A54"/>
    <w:rsid w:val="00AD5CA5"/>
    <w:rsid w:val="00AE348E"/>
    <w:rsid w:val="00AE3E31"/>
    <w:rsid w:val="00AF081A"/>
    <w:rsid w:val="00B2457D"/>
    <w:rsid w:val="00B3213A"/>
    <w:rsid w:val="00B41510"/>
    <w:rsid w:val="00B63CF1"/>
    <w:rsid w:val="00B735FC"/>
    <w:rsid w:val="00BA043F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5051C"/>
    <w:rsid w:val="00C6122A"/>
    <w:rsid w:val="00C636AB"/>
    <w:rsid w:val="00C65B26"/>
    <w:rsid w:val="00C85F87"/>
    <w:rsid w:val="00CB5205"/>
    <w:rsid w:val="00CB72EB"/>
    <w:rsid w:val="00CC108C"/>
    <w:rsid w:val="00CE041F"/>
    <w:rsid w:val="00CE0FD5"/>
    <w:rsid w:val="00CE5C42"/>
    <w:rsid w:val="00CF0646"/>
    <w:rsid w:val="00D03DB6"/>
    <w:rsid w:val="00D150DA"/>
    <w:rsid w:val="00D33B94"/>
    <w:rsid w:val="00D55320"/>
    <w:rsid w:val="00D6374B"/>
    <w:rsid w:val="00D724D2"/>
    <w:rsid w:val="00D76FAE"/>
    <w:rsid w:val="00D80BD6"/>
    <w:rsid w:val="00DC66BB"/>
    <w:rsid w:val="00DD1745"/>
    <w:rsid w:val="00DE25CD"/>
    <w:rsid w:val="00DE39C7"/>
    <w:rsid w:val="00DF2042"/>
    <w:rsid w:val="00E059D3"/>
    <w:rsid w:val="00E30EB8"/>
    <w:rsid w:val="00E402DB"/>
    <w:rsid w:val="00E5286D"/>
    <w:rsid w:val="00E675CA"/>
    <w:rsid w:val="00E74D0F"/>
    <w:rsid w:val="00EB6BD9"/>
    <w:rsid w:val="00ED26D2"/>
    <w:rsid w:val="00EE36A2"/>
    <w:rsid w:val="00EF3D86"/>
    <w:rsid w:val="00F103A9"/>
    <w:rsid w:val="00F63BFE"/>
    <w:rsid w:val="00F751BA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FB56-ECE8-4A4C-8654-2EA72455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369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27</cp:revision>
  <cp:lastPrinted>2013-10-06T20:30:00Z</cp:lastPrinted>
  <dcterms:created xsi:type="dcterms:W3CDTF">2014-05-10T21:56:00Z</dcterms:created>
  <dcterms:modified xsi:type="dcterms:W3CDTF">2019-09-10T14:19:00Z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