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34C" w:rsidRDefault="00010BDA">
      <w:pPr>
        <w:keepNext/>
        <w:spacing w:after="0"/>
        <w:rPr>
          <w:b/>
        </w:rPr>
      </w:pPr>
      <w:r>
        <w:rPr>
          <w:b/>
        </w:rPr>
        <w:t>Purpose:</w:t>
      </w:r>
    </w:p>
    <w:p w:rsidR="0005034C" w:rsidRDefault="00010BDA">
      <w:pPr>
        <w:spacing w:before="240" w:after="240"/>
        <w:ind w:left="-6"/>
      </w:pPr>
      <w:r>
        <w:rPr>
          <w:sz w:val="20"/>
          <w:szCs w:val="20"/>
        </w:rPr>
        <w:t>This document describes how to create a digital terrain model (</w:t>
      </w:r>
      <w:proofErr w:type="spellStart"/>
      <w:r>
        <w:rPr>
          <w:sz w:val="20"/>
          <w:szCs w:val="20"/>
        </w:rPr>
        <w:t>dem</w:t>
      </w:r>
      <w:proofErr w:type="spellEnd"/>
      <w:r>
        <w:rPr>
          <w:sz w:val="20"/>
          <w:szCs w:val="20"/>
        </w:rPr>
        <w:t xml:space="preserve">) from topography and non-navigation bathymetry downloaded </w:t>
      </w:r>
      <w:proofErr w:type="spellStart"/>
      <w:r>
        <w:rPr>
          <w:sz w:val="20"/>
          <w:szCs w:val="20"/>
        </w:rPr>
        <w:t>form</w:t>
      </w:r>
      <w:proofErr w:type="spellEnd"/>
      <w:r>
        <w:rPr>
          <w:sz w:val="20"/>
          <w:szCs w:val="20"/>
        </w:rPr>
        <w:t xml:space="preserve"> the open.canada.ca website.</w:t>
      </w:r>
    </w:p>
    <w:p w:rsidR="0005034C" w:rsidRDefault="00010BDA">
      <w:pPr>
        <w:spacing w:before="240" w:after="240"/>
        <w:ind w:left="-6"/>
      </w:pPr>
      <w:r>
        <w:rPr>
          <w:sz w:val="20"/>
          <w:szCs w:val="20"/>
        </w:rPr>
        <w:t xml:space="preserve">Although the </w:t>
      </w:r>
      <w:proofErr w:type="spellStart"/>
      <w:r>
        <w:rPr>
          <w:sz w:val="20"/>
          <w:szCs w:val="20"/>
        </w:rPr>
        <w:t>datsets</w:t>
      </w:r>
      <w:proofErr w:type="spellEnd"/>
      <w:r>
        <w:rPr>
          <w:sz w:val="20"/>
          <w:szCs w:val="20"/>
        </w:rPr>
        <w:t xml:space="preserve"> are each available as tiles in zipped tiff format, they are handled separately.  Past attempts at simply joining the two data types have proven unsuccessful.  This is because the vertical reference for topography is mean sea level, whi</w:t>
      </w:r>
      <w:r>
        <w:rPr>
          <w:sz w:val="20"/>
          <w:szCs w:val="20"/>
        </w:rPr>
        <w:t xml:space="preserve">le the bathymetry is on chart datum, which means that each tiff is potentially on a different vertical datum, and generally on a datum related to lower low water large tides. </w:t>
      </w:r>
    </w:p>
    <w:tbl>
      <w:tblPr>
        <w:tblStyle w:val="TableGrid"/>
        <w:tblW w:w="9356" w:type="dxa"/>
        <w:tblInd w:w="-6" w:type="dxa"/>
        <w:tblLook w:val="04A0" w:firstRow="1" w:lastRow="0" w:firstColumn="1" w:lastColumn="0" w:noHBand="0" w:noVBand="1"/>
      </w:tblPr>
      <w:tblGrid>
        <w:gridCol w:w="1192"/>
        <w:gridCol w:w="5173"/>
        <w:gridCol w:w="2991"/>
      </w:tblGrid>
      <w:tr w:rsidR="0005034C">
        <w:trPr>
          <w:cantSplit/>
          <w:trHeight w:val="454"/>
          <w:tblHeader/>
        </w:trPr>
        <w:tc>
          <w:tcPr>
            <w:tcW w:w="1261" w:type="dxa"/>
            <w:shd w:val="clear" w:color="auto" w:fill="auto"/>
          </w:tcPr>
          <w:p w:rsidR="0005034C" w:rsidRDefault="00010BDA">
            <w:pPr>
              <w:rPr>
                <w:b/>
              </w:rPr>
            </w:pPr>
            <w:r>
              <w:rPr>
                <w:b/>
              </w:rPr>
              <w:t>Step</w:t>
            </w:r>
          </w:p>
        </w:tc>
        <w:tc>
          <w:tcPr>
            <w:tcW w:w="4950" w:type="dxa"/>
            <w:shd w:val="clear" w:color="auto" w:fill="auto"/>
          </w:tcPr>
          <w:p w:rsidR="0005034C" w:rsidRDefault="00010BDA">
            <w:pPr>
              <w:rPr>
                <w:b/>
              </w:rPr>
            </w:pPr>
            <w:r>
              <w:rPr>
                <w:b/>
              </w:rPr>
              <w:t>Major Activity</w:t>
            </w:r>
          </w:p>
        </w:tc>
        <w:tc>
          <w:tcPr>
            <w:tcW w:w="3145" w:type="dxa"/>
            <w:shd w:val="clear" w:color="auto" w:fill="auto"/>
          </w:tcPr>
          <w:p w:rsidR="0005034C" w:rsidRDefault="00010BDA">
            <w:pPr>
              <w:rPr>
                <w:b/>
              </w:rPr>
            </w:pPr>
            <w:r>
              <w:rPr>
                <w:b/>
              </w:rPr>
              <w:t>References, Forms and Details</w:t>
            </w:r>
          </w:p>
        </w:tc>
      </w:tr>
      <w:tr w:rsidR="0005034C">
        <w:trPr>
          <w:cantSplit/>
        </w:trPr>
        <w:tc>
          <w:tcPr>
            <w:tcW w:w="1261" w:type="dxa"/>
            <w:shd w:val="clear" w:color="auto" w:fill="auto"/>
          </w:tcPr>
          <w:p w:rsidR="0005034C" w:rsidRDefault="00010BDA">
            <w:pPr>
              <w:spacing w:before="60" w:after="60"/>
              <w:jc w:val="center"/>
              <w:rPr>
                <w:sz w:val="20"/>
                <w:szCs w:val="20"/>
              </w:rPr>
            </w:pPr>
            <w:r>
              <w:rPr>
                <w:sz w:val="20"/>
                <w:szCs w:val="20"/>
              </w:rPr>
              <w:t>1</w:t>
            </w:r>
          </w:p>
        </w:tc>
        <w:tc>
          <w:tcPr>
            <w:tcW w:w="4950" w:type="dxa"/>
            <w:shd w:val="clear" w:color="auto" w:fill="auto"/>
          </w:tcPr>
          <w:p w:rsidR="0005034C" w:rsidRDefault="00010BDA">
            <w:pPr>
              <w:spacing w:before="60" w:after="60"/>
              <w:jc w:val="left"/>
            </w:pPr>
            <w:r>
              <w:rPr>
                <w:sz w:val="20"/>
                <w:szCs w:val="20"/>
              </w:rPr>
              <w:t>Download the 250K topograph</w:t>
            </w:r>
            <w:r>
              <w:rPr>
                <w:sz w:val="20"/>
                <w:szCs w:val="20"/>
              </w:rPr>
              <w:t xml:space="preserve">y from the </w:t>
            </w:r>
            <w:proofErr w:type="spellStart"/>
            <w:r>
              <w:rPr>
                <w:sz w:val="20"/>
                <w:szCs w:val="20"/>
              </w:rPr>
              <w:t>cdem</w:t>
            </w:r>
            <w:proofErr w:type="spellEnd"/>
          </w:p>
          <w:p w:rsidR="0005034C" w:rsidRDefault="00010BDA">
            <w:pPr>
              <w:numPr>
                <w:ilvl w:val="0"/>
                <w:numId w:val="5"/>
              </w:numPr>
              <w:spacing w:before="60" w:after="60"/>
              <w:jc w:val="left"/>
            </w:pPr>
            <w:hyperlink r:id="rId8">
              <w:r>
                <w:rPr>
                  <w:rStyle w:val="InternetLink"/>
                  <w:sz w:val="20"/>
                  <w:szCs w:val="20"/>
                </w:rPr>
                <w:t>https://open.canada.ca/data/en/dataset/7f245e4d-76c2-4caa-951a-45d1d2051333</w:t>
              </w:r>
            </w:hyperlink>
          </w:p>
          <w:p w:rsidR="0005034C" w:rsidRDefault="00010BDA">
            <w:pPr>
              <w:numPr>
                <w:ilvl w:val="0"/>
                <w:numId w:val="5"/>
              </w:numPr>
              <w:spacing w:before="60" w:after="60"/>
              <w:jc w:val="left"/>
            </w:pPr>
            <w:r>
              <w:rPr>
                <w:sz w:val="20"/>
                <w:szCs w:val="20"/>
              </w:rPr>
              <w:t xml:space="preserve">download all </w:t>
            </w:r>
            <w:proofErr w:type="spellStart"/>
            <w:r>
              <w:rPr>
                <w:sz w:val="20"/>
                <w:szCs w:val="20"/>
              </w:rPr>
              <w:t>geotiffs</w:t>
            </w:r>
            <w:proofErr w:type="spellEnd"/>
            <w:r>
              <w:rPr>
                <w:sz w:val="20"/>
                <w:szCs w:val="20"/>
              </w:rPr>
              <w:t xml:space="preserve"> in the 92, 93, 102 and 103 </w:t>
            </w:r>
          </w:p>
        </w:tc>
        <w:tc>
          <w:tcPr>
            <w:tcW w:w="3145" w:type="dxa"/>
            <w:shd w:val="clear" w:color="auto" w:fill="auto"/>
          </w:tcPr>
          <w:p w:rsidR="0005034C" w:rsidRDefault="00010BDA">
            <w:pPr>
              <w:numPr>
                <w:ilvl w:val="0"/>
                <w:numId w:val="4"/>
              </w:numPr>
              <w:tabs>
                <w:tab w:val="clear" w:pos="720"/>
                <w:tab w:val="left" w:pos="456"/>
              </w:tabs>
              <w:spacing w:before="60" w:after="60"/>
              <w:ind w:left="397" w:hanging="340"/>
              <w:jc w:val="left"/>
              <w:rPr>
                <w:sz w:val="16"/>
                <w:szCs w:val="16"/>
              </w:rPr>
            </w:pPr>
            <w:r>
              <w:rPr>
                <w:sz w:val="20"/>
                <w:szCs w:val="20"/>
              </w:rPr>
              <w:t xml:space="preserve">The fastest approach is to use </w:t>
            </w:r>
            <w:proofErr w:type="spellStart"/>
            <w:r>
              <w:rPr>
                <w:sz w:val="20"/>
                <w:szCs w:val="20"/>
              </w:rPr>
              <w:t>fileftp</w:t>
            </w:r>
            <w:proofErr w:type="spellEnd"/>
            <w:r>
              <w:rPr>
                <w:sz w:val="20"/>
                <w:szCs w:val="20"/>
              </w:rPr>
              <w:t xml:space="preserve">, and change the “https” to “ftp” </w:t>
            </w:r>
          </w:p>
          <w:p w:rsidR="0005034C" w:rsidRDefault="00010BDA">
            <w:pPr>
              <w:numPr>
                <w:ilvl w:val="0"/>
                <w:numId w:val="4"/>
              </w:numPr>
              <w:tabs>
                <w:tab w:val="clear" w:pos="720"/>
                <w:tab w:val="left" w:pos="456"/>
              </w:tabs>
              <w:spacing w:before="60" w:after="60"/>
              <w:ind w:left="397" w:hanging="340"/>
              <w:jc w:val="left"/>
              <w:rPr>
                <w:sz w:val="16"/>
                <w:szCs w:val="16"/>
              </w:rPr>
            </w:pPr>
            <w:r>
              <w:rPr>
                <w:sz w:val="20"/>
                <w:szCs w:val="20"/>
              </w:rPr>
              <w:t>point spacing is 0.75 arc secs (about 20 metres)</w:t>
            </w:r>
          </w:p>
        </w:tc>
      </w:tr>
      <w:tr w:rsidR="0005034C">
        <w:trPr>
          <w:cantSplit/>
        </w:trPr>
        <w:tc>
          <w:tcPr>
            <w:tcW w:w="1261" w:type="dxa"/>
            <w:shd w:val="clear" w:color="auto" w:fill="auto"/>
          </w:tcPr>
          <w:p w:rsidR="0005034C" w:rsidRDefault="00010BDA">
            <w:pPr>
              <w:spacing w:before="60" w:after="60"/>
              <w:jc w:val="center"/>
              <w:rPr>
                <w:sz w:val="20"/>
                <w:szCs w:val="20"/>
              </w:rPr>
            </w:pPr>
            <w:r>
              <w:rPr>
                <w:sz w:val="20"/>
                <w:szCs w:val="20"/>
              </w:rPr>
              <w:t>2</w:t>
            </w:r>
          </w:p>
        </w:tc>
        <w:tc>
          <w:tcPr>
            <w:tcW w:w="4950" w:type="dxa"/>
            <w:shd w:val="clear" w:color="auto" w:fill="auto"/>
          </w:tcPr>
          <w:p w:rsidR="0005034C" w:rsidRDefault="00010BDA">
            <w:pPr>
              <w:spacing w:before="60" w:after="60"/>
              <w:jc w:val="left"/>
            </w:pPr>
            <w:proofErr w:type="spellStart"/>
            <w:r>
              <w:rPr>
                <w:sz w:val="20"/>
                <w:szCs w:val="20"/>
                <w:lang w:val="fr-CA"/>
              </w:rPr>
              <w:t>Unzip</w:t>
            </w:r>
            <w:proofErr w:type="spellEnd"/>
            <w:r>
              <w:rPr>
                <w:sz w:val="20"/>
                <w:szCs w:val="20"/>
                <w:lang w:val="fr-CA"/>
              </w:rPr>
              <w:t xml:space="preserve"> the </w:t>
            </w:r>
            <w:proofErr w:type="spellStart"/>
            <w:r>
              <w:rPr>
                <w:sz w:val="20"/>
                <w:szCs w:val="20"/>
                <w:lang w:val="fr-CA"/>
              </w:rPr>
              <w:t>tiffs</w:t>
            </w:r>
            <w:proofErr w:type="spellEnd"/>
          </w:p>
        </w:tc>
        <w:tc>
          <w:tcPr>
            <w:tcW w:w="3145" w:type="dxa"/>
            <w:shd w:val="clear" w:color="auto" w:fill="auto"/>
          </w:tcPr>
          <w:p w:rsidR="0005034C" w:rsidRPr="00010BDA" w:rsidRDefault="00010BDA">
            <w:pPr>
              <w:numPr>
                <w:ilvl w:val="0"/>
                <w:numId w:val="6"/>
              </w:numPr>
              <w:tabs>
                <w:tab w:val="clear" w:pos="720"/>
                <w:tab w:val="left" w:pos="512"/>
              </w:tabs>
              <w:spacing w:before="60" w:after="60"/>
              <w:ind w:left="510" w:hanging="340"/>
              <w:rPr>
                <w:sz w:val="20"/>
                <w:szCs w:val="20"/>
              </w:rPr>
            </w:pPr>
            <w:r w:rsidRPr="00010BDA">
              <w:rPr>
                <w:sz w:val="20"/>
                <w:szCs w:val="20"/>
              </w:rPr>
              <w:t>This can be done easily in Linux, and not so easily in Windows</w:t>
            </w:r>
          </w:p>
          <w:p w:rsidR="0005034C" w:rsidRDefault="00010BDA">
            <w:pPr>
              <w:numPr>
                <w:ilvl w:val="0"/>
                <w:numId w:val="6"/>
              </w:numPr>
              <w:tabs>
                <w:tab w:val="clear" w:pos="720"/>
                <w:tab w:val="left" w:pos="512"/>
              </w:tabs>
              <w:spacing w:before="60" w:after="60"/>
              <w:ind w:left="510" w:hanging="340"/>
              <w:rPr>
                <w:sz w:val="20"/>
                <w:szCs w:val="20"/>
                <w:lang w:val="fr-CA"/>
              </w:rPr>
            </w:pPr>
            <w:proofErr w:type="spellStart"/>
            <w:r>
              <w:rPr>
                <w:sz w:val="20"/>
                <w:szCs w:val="20"/>
                <w:lang w:val="fr-CA"/>
              </w:rPr>
              <w:t>unzip</w:t>
            </w:r>
            <w:proofErr w:type="spellEnd"/>
            <w:r>
              <w:rPr>
                <w:sz w:val="20"/>
                <w:szCs w:val="20"/>
                <w:lang w:val="fr-CA"/>
              </w:rPr>
              <w:t xml:space="preserve"> ‘*.zip’</w:t>
            </w:r>
          </w:p>
        </w:tc>
      </w:tr>
      <w:tr w:rsidR="0005034C">
        <w:trPr>
          <w:cantSplit/>
        </w:trPr>
        <w:tc>
          <w:tcPr>
            <w:tcW w:w="1261" w:type="dxa"/>
            <w:shd w:val="clear" w:color="auto" w:fill="auto"/>
          </w:tcPr>
          <w:p w:rsidR="0005034C" w:rsidRDefault="00010BDA">
            <w:pPr>
              <w:spacing w:before="60" w:after="60"/>
              <w:jc w:val="center"/>
              <w:rPr>
                <w:sz w:val="20"/>
                <w:szCs w:val="20"/>
              </w:rPr>
            </w:pPr>
            <w:r>
              <w:rPr>
                <w:sz w:val="20"/>
                <w:szCs w:val="20"/>
              </w:rPr>
              <w:t>3</w:t>
            </w:r>
          </w:p>
        </w:tc>
        <w:tc>
          <w:tcPr>
            <w:tcW w:w="4950" w:type="dxa"/>
            <w:shd w:val="clear" w:color="auto" w:fill="auto"/>
          </w:tcPr>
          <w:p w:rsidR="0005034C" w:rsidRDefault="00010BDA">
            <w:pPr>
              <w:spacing w:before="60" w:after="60"/>
              <w:jc w:val="left"/>
            </w:pPr>
            <w:r w:rsidRPr="00010BDA">
              <w:rPr>
                <w:sz w:val="20"/>
                <w:szCs w:val="20"/>
              </w:rPr>
              <w:t xml:space="preserve">Convert the topography geotiffs to </w:t>
            </w:r>
            <w:r w:rsidRPr="00010BDA">
              <w:rPr>
                <w:sz w:val="20"/>
                <w:szCs w:val="20"/>
              </w:rPr>
              <w:t>xyz</w:t>
            </w:r>
          </w:p>
          <w:p w:rsidR="0005034C" w:rsidRDefault="00010BDA">
            <w:pPr>
              <w:numPr>
                <w:ilvl w:val="0"/>
                <w:numId w:val="6"/>
              </w:numPr>
              <w:spacing w:before="60" w:after="60"/>
              <w:jc w:val="left"/>
            </w:pPr>
            <w:r w:rsidRPr="00010BDA">
              <w:rPr>
                <w:sz w:val="20"/>
                <w:szCs w:val="20"/>
              </w:rPr>
              <w:t>gdal_translate -of XYZ &lt;geotiff name&gt; &lt;geotiff name&gt;.xyz</w:t>
            </w:r>
          </w:p>
          <w:p w:rsidR="0005034C" w:rsidRDefault="00010BDA">
            <w:pPr>
              <w:numPr>
                <w:ilvl w:val="0"/>
                <w:numId w:val="6"/>
              </w:numPr>
              <w:spacing w:before="60" w:after="60"/>
              <w:jc w:val="left"/>
            </w:pPr>
            <w:r w:rsidRPr="00010BDA">
              <w:rPr>
                <w:sz w:val="20"/>
                <w:szCs w:val="20"/>
              </w:rPr>
              <w:t>replace values of « 0 » and « ~1E38 » with a known null value</w:t>
            </w:r>
          </w:p>
        </w:tc>
        <w:tc>
          <w:tcPr>
            <w:tcW w:w="3145" w:type="dxa"/>
            <w:shd w:val="clear" w:color="auto" w:fill="auto"/>
          </w:tcPr>
          <w:p w:rsidR="0005034C" w:rsidRDefault="00010BDA">
            <w:pPr>
              <w:numPr>
                <w:ilvl w:val="0"/>
                <w:numId w:val="6"/>
              </w:numPr>
              <w:tabs>
                <w:tab w:val="clear" w:pos="720"/>
                <w:tab w:val="left" w:pos="512"/>
              </w:tabs>
              <w:spacing w:before="60" w:after="60"/>
              <w:ind w:left="510" w:hanging="340"/>
              <w:rPr>
                <w:sz w:val="20"/>
                <w:szCs w:val="20"/>
              </w:rPr>
            </w:pPr>
            <w:r>
              <w:rPr>
                <w:sz w:val="20"/>
                <w:szCs w:val="20"/>
              </w:rPr>
              <w:t>With this approach, you have a file extension “.</w:t>
            </w:r>
            <w:proofErr w:type="spellStart"/>
            <w:r>
              <w:rPr>
                <w:sz w:val="20"/>
                <w:szCs w:val="20"/>
              </w:rPr>
              <w:t>tif.xyz</w:t>
            </w:r>
            <w:proofErr w:type="spellEnd"/>
            <w:r>
              <w:rPr>
                <w:sz w:val="20"/>
                <w:szCs w:val="20"/>
              </w:rPr>
              <w:t>” which does not matter</w:t>
            </w:r>
          </w:p>
          <w:p w:rsidR="0005034C" w:rsidRDefault="00010BDA">
            <w:pPr>
              <w:numPr>
                <w:ilvl w:val="0"/>
                <w:numId w:val="6"/>
              </w:numPr>
              <w:tabs>
                <w:tab w:val="clear" w:pos="720"/>
                <w:tab w:val="left" w:pos="512"/>
              </w:tabs>
              <w:spacing w:before="60" w:after="60"/>
              <w:ind w:left="510" w:hanging="340"/>
              <w:rPr>
                <w:sz w:val="20"/>
                <w:szCs w:val="20"/>
              </w:rPr>
            </w:pPr>
            <w:r>
              <w:rPr>
                <w:sz w:val="20"/>
                <w:szCs w:val="20"/>
              </w:rPr>
              <w:t>the XYZ files total about 50GB</w:t>
            </w:r>
          </w:p>
        </w:tc>
      </w:tr>
      <w:tr w:rsidR="0005034C">
        <w:trPr>
          <w:cantSplit/>
        </w:trPr>
        <w:tc>
          <w:tcPr>
            <w:tcW w:w="1261" w:type="dxa"/>
            <w:shd w:val="clear" w:color="auto" w:fill="auto"/>
          </w:tcPr>
          <w:p w:rsidR="0005034C" w:rsidRDefault="00010BDA">
            <w:pPr>
              <w:spacing w:before="60" w:after="60"/>
              <w:jc w:val="center"/>
              <w:rPr>
                <w:sz w:val="20"/>
                <w:szCs w:val="20"/>
              </w:rPr>
            </w:pPr>
            <w:r>
              <w:rPr>
                <w:sz w:val="20"/>
                <w:szCs w:val="20"/>
              </w:rPr>
              <w:t>4</w:t>
            </w:r>
          </w:p>
        </w:tc>
        <w:tc>
          <w:tcPr>
            <w:tcW w:w="4950" w:type="dxa"/>
            <w:shd w:val="clear" w:color="auto" w:fill="auto"/>
          </w:tcPr>
          <w:p w:rsidR="0005034C" w:rsidRDefault="00010BDA">
            <w:pPr>
              <w:spacing w:before="60" w:after="60"/>
              <w:jc w:val="left"/>
            </w:pPr>
            <w:r>
              <w:rPr>
                <w:rFonts w:eastAsia="Times New Roman" w:cs="Courier New"/>
                <w:color w:val="000000" w:themeColor="text1"/>
                <w:sz w:val="20"/>
                <w:szCs w:val="20"/>
              </w:rPr>
              <w:t>Download the zipped-</w:t>
            </w:r>
            <w:proofErr w:type="spellStart"/>
            <w:r>
              <w:rPr>
                <w:rFonts w:eastAsia="Times New Roman" w:cs="Courier New"/>
                <w:color w:val="000000" w:themeColor="text1"/>
                <w:sz w:val="20"/>
                <w:szCs w:val="20"/>
              </w:rPr>
              <w:t>tif</w:t>
            </w:r>
            <w:proofErr w:type="spellEnd"/>
            <w:r>
              <w:rPr>
                <w:rFonts w:eastAsia="Times New Roman" w:cs="Courier New"/>
                <w:color w:val="000000" w:themeColor="text1"/>
                <w:sz w:val="20"/>
                <w:szCs w:val="20"/>
              </w:rPr>
              <w:t xml:space="preserve"> format file of 100m </w:t>
            </w:r>
            <w:proofErr w:type="spellStart"/>
            <w:r>
              <w:rPr>
                <w:rFonts w:eastAsia="Times New Roman" w:cs="Courier New"/>
                <w:color w:val="000000" w:themeColor="text1"/>
                <w:sz w:val="20"/>
                <w:szCs w:val="20"/>
              </w:rPr>
              <w:t>nonnav</w:t>
            </w:r>
            <w:proofErr w:type="spellEnd"/>
            <w:r>
              <w:rPr>
                <w:rFonts w:eastAsia="Times New Roman" w:cs="Courier New"/>
                <w:color w:val="000000" w:themeColor="text1"/>
                <w:sz w:val="20"/>
                <w:szCs w:val="20"/>
              </w:rPr>
              <w:t xml:space="preserve"> bathymetry</w:t>
            </w:r>
          </w:p>
          <w:p w:rsidR="0005034C" w:rsidRDefault="00010BDA">
            <w:pPr>
              <w:numPr>
                <w:ilvl w:val="0"/>
                <w:numId w:val="7"/>
              </w:numPr>
              <w:spacing w:before="60" w:after="60"/>
              <w:jc w:val="left"/>
            </w:pPr>
            <w:hyperlink r:id="rId9">
              <w:r>
                <w:rPr>
                  <w:rStyle w:val="InternetLink"/>
                  <w:rFonts w:eastAsia="Times New Roman" w:cs="Courier New"/>
                  <w:color w:val="000000" w:themeColor="text1"/>
                  <w:sz w:val="20"/>
                  <w:szCs w:val="20"/>
                </w:rPr>
                <w:t>https://open.canada.ca/data/en/dataset/d3881c4c-650d-4070-bf9b-1e00aabf0a1d</w:t>
              </w:r>
            </w:hyperlink>
          </w:p>
          <w:p w:rsidR="0005034C" w:rsidRDefault="0005034C">
            <w:pPr>
              <w:spacing w:before="60" w:after="60"/>
              <w:jc w:val="left"/>
              <w:rPr>
                <w:rFonts w:eastAsia="Times New Roman" w:cs="Courier New"/>
                <w:color w:val="000000" w:themeColor="text1"/>
                <w:sz w:val="20"/>
                <w:szCs w:val="20"/>
              </w:rPr>
            </w:pPr>
          </w:p>
        </w:tc>
        <w:tc>
          <w:tcPr>
            <w:tcW w:w="3145" w:type="dxa"/>
            <w:shd w:val="clear" w:color="auto" w:fill="auto"/>
          </w:tcPr>
          <w:p w:rsidR="0005034C" w:rsidRDefault="00010BDA">
            <w:pPr>
              <w:pStyle w:val="ListParagraph"/>
              <w:numPr>
                <w:ilvl w:val="0"/>
                <w:numId w:val="3"/>
              </w:numPr>
              <w:spacing w:before="60" w:after="60"/>
              <w:ind w:left="432"/>
              <w:jc w:val="left"/>
            </w:pPr>
            <w:r>
              <w:rPr>
                <w:sz w:val="20"/>
                <w:szCs w:val="20"/>
              </w:rPr>
              <w:t xml:space="preserve">It is a single 150MB download, containing </w:t>
            </w:r>
            <w:r>
              <w:rPr>
                <w:sz w:val="20"/>
                <w:szCs w:val="20"/>
              </w:rPr>
              <w:t>bathymetry for all of Canada including the Arctic, but not US waters.</w:t>
            </w:r>
          </w:p>
          <w:p w:rsidR="0005034C" w:rsidRDefault="00010BDA">
            <w:pPr>
              <w:pStyle w:val="ListParagraph"/>
              <w:numPr>
                <w:ilvl w:val="0"/>
                <w:numId w:val="3"/>
              </w:numPr>
              <w:spacing w:before="60" w:after="60"/>
              <w:ind w:left="432"/>
              <w:jc w:val="left"/>
            </w:pPr>
            <w:r>
              <w:rPr>
                <w:sz w:val="20"/>
                <w:szCs w:val="20"/>
              </w:rPr>
              <w:t>Point spacing is 0.001 arc seconds (~111 metres)</w:t>
            </w:r>
          </w:p>
        </w:tc>
      </w:tr>
      <w:tr w:rsidR="0005034C">
        <w:trPr>
          <w:cantSplit/>
        </w:trPr>
        <w:tc>
          <w:tcPr>
            <w:tcW w:w="1261" w:type="dxa"/>
            <w:shd w:val="clear" w:color="auto" w:fill="auto"/>
          </w:tcPr>
          <w:p w:rsidR="0005034C" w:rsidRDefault="00010BDA">
            <w:pPr>
              <w:spacing w:before="60" w:after="60"/>
              <w:jc w:val="center"/>
              <w:rPr>
                <w:sz w:val="20"/>
                <w:szCs w:val="20"/>
              </w:rPr>
            </w:pPr>
            <w:r>
              <w:rPr>
                <w:sz w:val="20"/>
                <w:szCs w:val="20"/>
              </w:rPr>
              <w:t>5</w:t>
            </w:r>
          </w:p>
        </w:tc>
        <w:tc>
          <w:tcPr>
            <w:tcW w:w="4950" w:type="dxa"/>
            <w:shd w:val="clear" w:color="auto" w:fill="auto"/>
          </w:tcPr>
          <w:p w:rsidR="0005034C" w:rsidRDefault="00010BDA">
            <w:pPr>
              <w:spacing w:before="60" w:after="60"/>
              <w:jc w:val="left"/>
            </w:pPr>
            <w:r>
              <w:rPr>
                <w:rFonts w:eastAsia="Times New Roman" w:cs="Courier New"/>
                <w:sz w:val="20"/>
                <w:szCs w:val="20"/>
              </w:rPr>
              <w:t>Unzip the single zip file</w:t>
            </w:r>
          </w:p>
        </w:tc>
        <w:tc>
          <w:tcPr>
            <w:tcW w:w="3145" w:type="dxa"/>
            <w:shd w:val="clear" w:color="auto" w:fill="auto"/>
          </w:tcPr>
          <w:p w:rsidR="0005034C" w:rsidRDefault="0005034C">
            <w:pPr>
              <w:pStyle w:val="ListParagraph"/>
              <w:spacing w:before="60" w:after="60"/>
              <w:ind w:left="792"/>
              <w:rPr>
                <w:sz w:val="20"/>
                <w:szCs w:val="20"/>
              </w:rPr>
            </w:pPr>
          </w:p>
        </w:tc>
      </w:tr>
      <w:tr w:rsidR="0005034C">
        <w:trPr>
          <w:cantSplit/>
        </w:trPr>
        <w:tc>
          <w:tcPr>
            <w:tcW w:w="1261" w:type="dxa"/>
            <w:shd w:val="clear" w:color="auto" w:fill="auto"/>
          </w:tcPr>
          <w:p w:rsidR="0005034C" w:rsidRDefault="00010BDA">
            <w:pPr>
              <w:spacing w:before="60" w:after="60"/>
              <w:jc w:val="center"/>
              <w:rPr>
                <w:sz w:val="20"/>
                <w:szCs w:val="20"/>
              </w:rPr>
            </w:pPr>
            <w:r>
              <w:rPr>
                <w:sz w:val="20"/>
                <w:szCs w:val="20"/>
              </w:rPr>
              <w:t>6</w:t>
            </w:r>
          </w:p>
        </w:tc>
        <w:tc>
          <w:tcPr>
            <w:tcW w:w="4950" w:type="dxa"/>
            <w:shd w:val="clear" w:color="auto" w:fill="auto"/>
          </w:tcPr>
          <w:p w:rsidR="0005034C" w:rsidRDefault="00010BDA">
            <w:pPr>
              <w:spacing w:before="60" w:after="60"/>
              <w:jc w:val="left"/>
            </w:pPr>
            <w:r>
              <w:rPr>
                <w:rFonts w:eastAsia="Times New Roman" w:cs="Courier New"/>
                <w:sz w:val="20"/>
                <w:szCs w:val="20"/>
              </w:rPr>
              <w:t xml:space="preserve">Convert the </w:t>
            </w:r>
            <w:proofErr w:type="spellStart"/>
            <w:r>
              <w:rPr>
                <w:rFonts w:eastAsia="Times New Roman" w:cs="Courier New"/>
                <w:sz w:val="20"/>
                <w:szCs w:val="20"/>
              </w:rPr>
              <w:t>geotiffs</w:t>
            </w:r>
            <w:proofErr w:type="spellEnd"/>
            <w:r>
              <w:rPr>
                <w:rFonts w:eastAsia="Times New Roman" w:cs="Courier New"/>
                <w:sz w:val="20"/>
                <w:szCs w:val="20"/>
              </w:rPr>
              <w:t xml:space="preserve"> to XYZ</w:t>
            </w:r>
          </w:p>
        </w:tc>
        <w:tc>
          <w:tcPr>
            <w:tcW w:w="3145" w:type="dxa"/>
            <w:shd w:val="clear" w:color="auto" w:fill="auto"/>
          </w:tcPr>
          <w:p w:rsidR="0005034C" w:rsidRDefault="00010BDA">
            <w:pPr>
              <w:pStyle w:val="ListParagraph"/>
              <w:numPr>
                <w:ilvl w:val="0"/>
                <w:numId w:val="1"/>
              </w:numPr>
              <w:spacing w:before="60" w:after="60"/>
              <w:ind w:left="432"/>
              <w:rPr>
                <w:sz w:val="20"/>
                <w:szCs w:val="20"/>
              </w:rPr>
            </w:pPr>
            <w:bookmarkStart w:id="0" w:name="__DdeLink__150_776827908"/>
            <w:r>
              <w:rPr>
                <w:sz w:val="20"/>
                <w:szCs w:val="20"/>
              </w:rPr>
              <w:t>Same approach as above</w:t>
            </w:r>
            <w:bookmarkEnd w:id="0"/>
          </w:p>
        </w:tc>
      </w:tr>
      <w:tr w:rsidR="0005034C">
        <w:trPr>
          <w:cantSplit/>
        </w:trPr>
        <w:tc>
          <w:tcPr>
            <w:tcW w:w="1261" w:type="dxa"/>
            <w:shd w:val="clear" w:color="auto" w:fill="auto"/>
          </w:tcPr>
          <w:p w:rsidR="0005034C" w:rsidRDefault="00010BDA">
            <w:pPr>
              <w:spacing w:before="60" w:after="60"/>
              <w:jc w:val="center"/>
              <w:rPr>
                <w:sz w:val="20"/>
                <w:szCs w:val="20"/>
              </w:rPr>
            </w:pPr>
            <w:r>
              <w:rPr>
                <w:sz w:val="20"/>
                <w:szCs w:val="20"/>
              </w:rPr>
              <w:lastRenderedPageBreak/>
              <w:t>7</w:t>
            </w:r>
          </w:p>
        </w:tc>
        <w:tc>
          <w:tcPr>
            <w:tcW w:w="4950" w:type="dxa"/>
            <w:shd w:val="clear" w:color="auto" w:fill="auto"/>
          </w:tcPr>
          <w:p w:rsidR="0005034C" w:rsidRDefault="00010BDA">
            <w:pPr>
              <w:spacing w:before="60" w:after="60"/>
              <w:jc w:val="left"/>
            </w:pPr>
            <w:r>
              <w:rPr>
                <w:rFonts w:eastAsia="Times New Roman" w:cs="Courier New"/>
                <w:sz w:val="20"/>
                <w:szCs w:val="20"/>
              </w:rPr>
              <w:t>Optional.  Alter the bathymetry to mean sea level</w:t>
            </w:r>
          </w:p>
        </w:tc>
        <w:tc>
          <w:tcPr>
            <w:tcW w:w="3145" w:type="dxa"/>
            <w:shd w:val="clear" w:color="auto" w:fill="auto"/>
          </w:tcPr>
          <w:p w:rsidR="0005034C" w:rsidRDefault="00010BDA">
            <w:pPr>
              <w:pStyle w:val="ListParagraph"/>
              <w:numPr>
                <w:ilvl w:val="0"/>
                <w:numId w:val="2"/>
              </w:numPr>
              <w:spacing w:before="60" w:after="60"/>
              <w:ind w:left="432"/>
              <w:jc w:val="left"/>
            </w:pPr>
            <w:r>
              <w:rPr>
                <w:sz w:val="20"/>
                <w:szCs w:val="20"/>
              </w:rPr>
              <w:t xml:space="preserve">If this is not done, the final </w:t>
            </w:r>
            <w:proofErr w:type="spellStart"/>
            <w:r>
              <w:rPr>
                <w:sz w:val="20"/>
                <w:szCs w:val="20"/>
              </w:rPr>
              <w:t>dem</w:t>
            </w:r>
            <w:proofErr w:type="spellEnd"/>
            <w:r>
              <w:rPr>
                <w:sz w:val="20"/>
                <w:szCs w:val="20"/>
              </w:rPr>
              <w:t xml:space="preserve"> depths will be somewhat in error (up to 5 metres).</w:t>
            </w:r>
          </w:p>
        </w:tc>
      </w:tr>
      <w:tr w:rsidR="0005034C">
        <w:trPr>
          <w:cantSplit/>
        </w:trPr>
        <w:tc>
          <w:tcPr>
            <w:tcW w:w="1261" w:type="dxa"/>
            <w:shd w:val="clear" w:color="auto" w:fill="auto"/>
          </w:tcPr>
          <w:p w:rsidR="0005034C" w:rsidRDefault="00010BDA">
            <w:pPr>
              <w:spacing w:before="60" w:after="60"/>
              <w:jc w:val="center"/>
              <w:rPr>
                <w:sz w:val="20"/>
                <w:szCs w:val="20"/>
              </w:rPr>
            </w:pPr>
            <w:r>
              <w:rPr>
                <w:sz w:val="20"/>
                <w:szCs w:val="20"/>
              </w:rPr>
              <w:t>8</w:t>
            </w:r>
          </w:p>
        </w:tc>
        <w:tc>
          <w:tcPr>
            <w:tcW w:w="4950" w:type="dxa"/>
            <w:shd w:val="clear" w:color="auto" w:fill="auto"/>
          </w:tcPr>
          <w:p w:rsidR="0005034C" w:rsidRDefault="00010BDA">
            <w:pPr>
              <w:spacing w:before="60" w:after="60"/>
              <w:jc w:val="left"/>
            </w:pPr>
            <w:r>
              <w:rPr>
                <w:rFonts w:eastAsia="Times New Roman" w:cs="Courier New"/>
                <w:sz w:val="20"/>
                <w:szCs w:val="20"/>
                <w:shd w:val="clear" w:color="auto" w:fill="D9EAD3"/>
              </w:rPr>
              <w:t>Grid the resulting datasets as one</w:t>
            </w:r>
          </w:p>
          <w:p w:rsidR="0005034C" w:rsidRDefault="00010BDA">
            <w:pPr>
              <w:numPr>
                <w:ilvl w:val="0"/>
                <w:numId w:val="8"/>
              </w:numPr>
              <w:spacing w:before="60" w:after="60"/>
              <w:jc w:val="left"/>
            </w:pPr>
            <w:r>
              <w:rPr>
                <w:rFonts w:eastAsia="Times New Roman" w:cs="Courier New"/>
                <w:sz w:val="20"/>
                <w:szCs w:val="20"/>
                <w:shd w:val="clear" w:color="auto" w:fill="D9EAD3"/>
              </w:rPr>
              <w:t>modified xyz topography</w:t>
            </w:r>
          </w:p>
          <w:p w:rsidR="0005034C" w:rsidRDefault="00010BDA">
            <w:pPr>
              <w:numPr>
                <w:ilvl w:val="0"/>
                <w:numId w:val="8"/>
              </w:numPr>
              <w:spacing w:before="60" w:after="60"/>
              <w:jc w:val="left"/>
            </w:pPr>
            <w:r>
              <w:rPr>
                <w:rFonts w:eastAsia="Times New Roman" w:cs="Courier New"/>
                <w:sz w:val="20"/>
                <w:szCs w:val="20"/>
                <w:shd w:val="clear" w:color="auto" w:fill="D9EAD3"/>
              </w:rPr>
              <w:t>bathymetry xyz files</w:t>
            </w:r>
          </w:p>
          <w:p w:rsidR="0005034C" w:rsidRDefault="00010BDA">
            <w:pPr>
              <w:numPr>
                <w:ilvl w:val="0"/>
                <w:numId w:val="8"/>
              </w:numPr>
              <w:spacing w:before="60" w:after="60"/>
              <w:jc w:val="left"/>
            </w:pPr>
            <w:r>
              <w:rPr>
                <w:rFonts w:eastAsia="Times New Roman" w:cs="Courier New"/>
                <w:sz w:val="20"/>
                <w:szCs w:val="20"/>
                <w:shd w:val="clear" w:color="auto" w:fill="D9EAD3"/>
              </w:rPr>
              <w:t>any supplemental bathymetry files in xyz</w:t>
            </w:r>
          </w:p>
        </w:tc>
        <w:tc>
          <w:tcPr>
            <w:tcW w:w="3145" w:type="dxa"/>
            <w:shd w:val="clear" w:color="auto" w:fill="auto"/>
          </w:tcPr>
          <w:p w:rsidR="0005034C" w:rsidRDefault="00010BDA">
            <w:pPr>
              <w:pStyle w:val="ListParagraph"/>
              <w:numPr>
                <w:ilvl w:val="0"/>
                <w:numId w:val="2"/>
              </w:numPr>
              <w:spacing w:before="60" w:after="60"/>
              <w:ind w:left="522"/>
              <w:jc w:val="left"/>
            </w:pPr>
            <w:r>
              <w:rPr>
                <w:sz w:val="20"/>
                <w:szCs w:val="20"/>
              </w:rPr>
              <w:t xml:space="preserve">Need a gridding application that can handle </w:t>
            </w:r>
            <w:r>
              <w:rPr>
                <w:sz w:val="20"/>
                <w:szCs w:val="20"/>
              </w:rPr>
              <w:t xml:space="preserve">very large </w:t>
            </w:r>
            <w:proofErr w:type="spellStart"/>
            <w:r>
              <w:rPr>
                <w:sz w:val="20"/>
                <w:szCs w:val="20"/>
              </w:rPr>
              <w:t>datsets</w:t>
            </w:r>
            <w:proofErr w:type="spellEnd"/>
            <w:r>
              <w:rPr>
                <w:sz w:val="20"/>
                <w:szCs w:val="20"/>
              </w:rPr>
              <w:t>.</w:t>
            </w:r>
          </w:p>
          <w:p w:rsidR="0005034C" w:rsidRDefault="00010BDA">
            <w:pPr>
              <w:pStyle w:val="ListParagraph"/>
              <w:numPr>
                <w:ilvl w:val="0"/>
                <w:numId w:val="2"/>
              </w:numPr>
              <w:spacing w:before="60" w:after="60"/>
              <w:ind w:left="522"/>
              <w:jc w:val="left"/>
            </w:pPr>
            <w:r>
              <w:rPr>
                <w:sz w:val="20"/>
                <w:szCs w:val="20"/>
              </w:rPr>
              <w:t xml:space="preserve">one can specify a cell size as 0.0005 </w:t>
            </w:r>
            <w:proofErr w:type="spellStart"/>
            <w:r>
              <w:rPr>
                <w:sz w:val="20"/>
                <w:szCs w:val="20"/>
              </w:rPr>
              <w:t>deg</w:t>
            </w:r>
            <w:proofErr w:type="spellEnd"/>
            <w:r>
              <w:rPr>
                <w:sz w:val="20"/>
                <w:szCs w:val="20"/>
              </w:rPr>
              <w:t xml:space="preserve"> (~50metres)</w:t>
            </w:r>
          </w:p>
        </w:tc>
      </w:tr>
      <w:tr w:rsidR="0005034C">
        <w:trPr>
          <w:cantSplit/>
        </w:trPr>
        <w:tc>
          <w:tcPr>
            <w:tcW w:w="1261" w:type="dxa"/>
            <w:shd w:val="clear" w:color="auto" w:fill="auto"/>
          </w:tcPr>
          <w:p w:rsidR="0005034C" w:rsidRDefault="00010BDA">
            <w:pPr>
              <w:spacing w:before="60" w:after="60"/>
              <w:jc w:val="center"/>
              <w:rPr>
                <w:sz w:val="20"/>
                <w:szCs w:val="20"/>
              </w:rPr>
            </w:pPr>
            <w:r>
              <w:rPr>
                <w:sz w:val="20"/>
                <w:szCs w:val="20"/>
              </w:rPr>
              <w:t>9</w:t>
            </w:r>
          </w:p>
        </w:tc>
        <w:tc>
          <w:tcPr>
            <w:tcW w:w="4950" w:type="dxa"/>
            <w:shd w:val="clear" w:color="auto" w:fill="auto"/>
          </w:tcPr>
          <w:p w:rsidR="0005034C" w:rsidRDefault="0005034C">
            <w:pPr>
              <w:spacing w:before="60" w:after="60"/>
              <w:jc w:val="left"/>
              <w:rPr>
                <w:rFonts w:eastAsia="Times New Roman" w:cs="Courier New"/>
                <w:sz w:val="20"/>
                <w:szCs w:val="20"/>
                <w:highlight w:val="green"/>
              </w:rPr>
            </w:pPr>
          </w:p>
        </w:tc>
        <w:tc>
          <w:tcPr>
            <w:tcW w:w="3145" w:type="dxa"/>
            <w:shd w:val="clear" w:color="auto" w:fill="auto"/>
          </w:tcPr>
          <w:p w:rsidR="0005034C" w:rsidRDefault="0005034C">
            <w:pPr>
              <w:pStyle w:val="ListParagraph"/>
              <w:numPr>
                <w:ilvl w:val="0"/>
                <w:numId w:val="2"/>
              </w:numPr>
              <w:spacing w:before="60" w:after="60"/>
              <w:ind w:left="522"/>
              <w:jc w:val="left"/>
              <w:rPr>
                <w:sz w:val="20"/>
                <w:szCs w:val="20"/>
              </w:rPr>
            </w:pPr>
          </w:p>
        </w:tc>
      </w:tr>
      <w:tr w:rsidR="0005034C">
        <w:trPr>
          <w:cantSplit/>
        </w:trPr>
        <w:tc>
          <w:tcPr>
            <w:tcW w:w="1261" w:type="dxa"/>
            <w:shd w:val="clear" w:color="auto" w:fill="auto"/>
          </w:tcPr>
          <w:p w:rsidR="0005034C" w:rsidRDefault="00010BDA">
            <w:pPr>
              <w:spacing w:before="60" w:after="60"/>
              <w:jc w:val="center"/>
              <w:rPr>
                <w:sz w:val="20"/>
                <w:szCs w:val="20"/>
              </w:rPr>
            </w:pPr>
            <w:r>
              <w:rPr>
                <w:sz w:val="20"/>
                <w:szCs w:val="20"/>
              </w:rPr>
              <w:t>10</w:t>
            </w:r>
          </w:p>
        </w:tc>
        <w:tc>
          <w:tcPr>
            <w:tcW w:w="4950" w:type="dxa"/>
            <w:shd w:val="clear" w:color="auto" w:fill="auto"/>
          </w:tcPr>
          <w:p w:rsidR="0005034C" w:rsidRDefault="0005034C">
            <w:pPr>
              <w:spacing w:before="60" w:after="60"/>
              <w:jc w:val="left"/>
              <w:rPr>
                <w:rFonts w:eastAsia="Times New Roman" w:cs="Times New Roman"/>
                <w:sz w:val="20"/>
                <w:szCs w:val="20"/>
              </w:rPr>
            </w:pPr>
          </w:p>
        </w:tc>
        <w:tc>
          <w:tcPr>
            <w:tcW w:w="3145" w:type="dxa"/>
            <w:shd w:val="clear" w:color="auto" w:fill="auto"/>
          </w:tcPr>
          <w:p w:rsidR="0005034C" w:rsidRDefault="0005034C">
            <w:pPr>
              <w:pStyle w:val="ListParagraph"/>
              <w:numPr>
                <w:ilvl w:val="0"/>
                <w:numId w:val="2"/>
              </w:numPr>
              <w:spacing w:before="60" w:after="60"/>
              <w:ind w:left="522"/>
              <w:jc w:val="left"/>
              <w:rPr>
                <w:sz w:val="20"/>
                <w:szCs w:val="20"/>
              </w:rPr>
            </w:pPr>
          </w:p>
        </w:tc>
      </w:tr>
    </w:tbl>
    <w:p w:rsidR="0005034C" w:rsidRDefault="0005034C">
      <w:pPr>
        <w:spacing w:after="0"/>
      </w:pPr>
    </w:p>
    <w:sectPr w:rsidR="0005034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10BDA">
      <w:pPr>
        <w:spacing w:after="0" w:line="240" w:lineRule="auto"/>
      </w:pPr>
      <w:r>
        <w:separator/>
      </w:r>
    </w:p>
  </w:endnote>
  <w:endnote w:type="continuationSeparator" w:id="0">
    <w:p w:rsidR="00000000" w:rsidRDefault="00010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BDA" w:rsidRDefault="00010B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66"/>
      <w:gridCol w:w="4117"/>
      <w:gridCol w:w="3062"/>
    </w:tblGrid>
    <w:tr w:rsidR="0005034C">
      <w:tc>
        <w:tcPr>
          <w:tcW w:w="2266" w:type="dxa"/>
          <w:tcBorders>
            <w:top w:val="single" w:sz="4" w:space="0" w:color="000000"/>
            <w:left w:val="single" w:sz="4" w:space="0" w:color="000000"/>
            <w:bottom w:val="single" w:sz="4" w:space="0" w:color="000000"/>
            <w:right w:val="single" w:sz="4" w:space="0" w:color="000000"/>
          </w:tcBorders>
          <w:shd w:val="clear" w:color="auto" w:fill="auto"/>
        </w:tcPr>
        <w:p w:rsidR="0005034C" w:rsidRDefault="00010BDA">
          <w:pPr>
            <w:pStyle w:val="Footer"/>
            <w:rPr>
              <w:b/>
              <w:sz w:val="20"/>
              <w:szCs w:val="20"/>
            </w:rPr>
          </w:pPr>
          <w:r>
            <w:rPr>
              <w:b/>
              <w:sz w:val="20"/>
              <w:szCs w:val="20"/>
            </w:rPr>
            <w:t>Created by:</w:t>
          </w:r>
        </w:p>
        <w:p w:rsidR="0005034C" w:rsidRDefault="00010BDA">
          <w:pPr>
            <w:pStyle w:val="Footer"/>
            <w:jc w:val="center"/>
            <w:rPr>
              <w:sz w:val="20"/>
              <w:szCs w:val="20"/>
            </w:rPr>
          </w:pPr>
          <w:r>
            <w:rPr>
              <w:sz w:val="20"/>
              <w:szCs w:val="20"/>
            </w:rPr>
            <w:t>Terry Curran, P.Eng.</w:t>
          </w:r>
        </w:p>
      </w:tc>
      <w:tc>
        <w:tcPr>
          <w:tcW w:w="4117" w:type="dxa"/>
          <w:tcBorders>
            <w:top w:val="single" w:sz="4" w:space="0" w:color="000000"/>
            <w:left w:val="single" w:sz="4" w:space="0" w:color="000000"/>
            <w:bottom w:val="single" w:sz="4" w:space="0" w:color="000000"/>
            <w:right w:val="single" w:sz="4" w:space="0" w:color="000000"/>
          </w:tcBorders>
          <w:shd w:val="clear" w:color="auto" w:fill="auto"/>
        </w:tcPr>
        <w:p w:rsidR="0005034C" w:rsidRDefault="00010BDA">
          <w:pPr>
            <w:pStyle w:val="Footer"/>
            <w:rPr>
              <w:b/>
              <w:sz w:val="20"/>
              <w:szCs w:val="20"/>
            </w:rPr>
          </w:pPr>
          <w:r>
            <w:rPr>
              <w:b/>
              <w:sz w:val="20"/>
              <w:szCs w:val="20"/>
            </w:rPr>
            <w:t>Approved by process owner / date:</w:t>
          </w:r>
        </w:p>
        <w:p w:rsidR="0005034C" w:rsidRDefault="00010BDA">
          <w:pPr>
            <w:pStyle w:val="Footer"/>
            <w:spacing w:after="240"/>
            <w:jc w:val="center"/>
          </w:pPr>
          <w:r>
            <w:rPr>
              <w:color w:val="000000" w:themeColor="text1"/>
              <w:sz w:val="20"/>
              <w:szCs w:val="20"/>
            </w:rPr>
            <w:t>Terry Curran, P.Eng. / 2018-10-22</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rsidR="0005034C" w:rsidRDefault="00010BDA">
          <w:pPr>
            <w:pStyle w:val="Footer"/>
            <w:jc w:val="right"/>
          </w:pPr>
          <w:r>
            <w:rPr>
              <w:sz w:val="20"/>
              <w:szCs w:val="20"/>
            </w:rPr>
            <w:t xml:space="preserve">Page </w:t>
          </w:r>
          <w:r>
            <w:rPr>
              <w:rStyle w:val="PageNumber"/>
            </w:rPr>
            <w:fldChar w:fldCharType="begin"/>
          </w:r>
          <w:r>
            <w:rPr>
              <w:rStyle w:val="PageNumber"/>
            </w:rPr>
            <w:instrText>PAGE</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NUMPAGES</w:instrText>
          </w:r>
          <w:r>
            <w:rPr>
              <w:rStyle w:val="PageNumber"/>
            </w:rPr>
            <w:fldChar w:fldCharType="separate"/>
          </w:r>
          <w:r>
            <w:rPr>
              <w:rStyle w:val="PageNumber"/>
              <w:noProof/>
            </w:rPr>
            <w:t>2</w:t>
          </w:r>
          <w:r>
            <w:rPr>
              <w:rStyle w:val="PageNumber"/>
            </w:rPr>
            <w:fldChar w:fldCharType="end"/>
          </w:r>
        </w:p>
      </w:tc>
    </w:tr>
  </w:tbl>
  <w:p w:rsidR="0005034C" w:rsidRDefault="000503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BDA" w:rsidRDefault="00010B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10BDA">
      <w:pPr>
        <w:spacing w:after="0" w:line="240" w:lineRule="auto"/>
      </w:pPr>
      <w:r>
        <w:separator/>
      </w:r>
    </w:p>
  </w:footnote>
  <w:footnote w:type="continuationSeparator" w:id="0">
    <w:p w:rsidR="00000000" w:rsidRDefault="00010B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BDA" w:rsidRDefault="00010B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56"/>
      <w:gridCol w:w="4787"/>
      <w:gridCol w:w="3092"/>
    </w:tblGrid>
    <w:tr w:rsidR="0005034C">
      <w:trPr>
        <w:trHeight w:val="1054"/>
      </w:trPr>
      <w:tc>
        <w:tcPr>
          <w:tcW w:w="1656" w:type="dxa"/>
          <w:tcBorders>
            <w:top w:val="single" w:sz="4" w:space="0" w:color="000000"/>
            <w:left w:val="single" w:sz="4" w:space="0" w:color="000000"/>
            <w:bottom w:val="single" w:sz="4" w:space="0" w:color="000000"/>
            <w:right w:val="single" w:sz="4" w:space="0" w:color="000000"/>
          </w:tcBorders>
          <w:shd w:val="clear" w:color="auto" w:fill="auto"/>
        </w:tcPr>
        <w:p w:rsidR="0005034C" w:rsidRDefault="00010BDA">
          <w:pPr>
            <w:pStyle w:val="Header"/>
          </w:pPr>
          <w:r>
            <w:rPr>
              <w:noProof/>
            </w:rPr>
            <w:drawing>
              <wp:anchor distT="0" distB="0" distL="0" distR="0" simplePos="0" relativeHeight="3" behindDoc="1" locked="0" layoutInCell="1" allowOverlap="1">
                <wp:simplePos x="0" y="0"/>
                <wp:positionH relativeFrom="margin">
                  <wp:posOffset>-6350</wp:posOffset>
                </wp:positionH>
                <wp:positionV relativeFrom="paragraph">
                  <wp:posOffset>130175</wp:posOffset>
                </wp:positionV>
                <wp:extent cx="914400" cy="685800"/>
                <wp:effectExtent l="0" t="0" r="0" b="0"/>
                <wp:wrapSquare wrapText="bothSides"/>
                <wp:docPr id="1" name="Picture 3" descr="IC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CANlogo.jpg"/>
                        <pic:cNvPicPr>
                          <a:picLocks noChangeAspect="1" noChangeArrowheads="1"/>
                        </pic:cNvPicPr>
                      </pic:nvPicPr>
                      <pic:blipFill>
                        <a:blip r:embed="rId1"/>
                        <a:stretch>
                          <a:fillRect/>
                        </a:stretch>
                      </pic:blipFill>
                      <pic:spPr bwMode="auto">
                        <a:xfrm>
                          <a:off x="0" y="0"/>
                          <a:ext cx="914400" cy="685800"/>
                        </a:xfrm>
                        <a:prstGeom prst="rect">
                          <a:avLst/>
                        </a:prstGeom>
                      </pic:spPr>
                    </pic:pic>
                  </a:graphicData>
                </a:graphic>
              </wp:anchor>
            </w:drawing>
          </w:r>
        </w:p>
      </w:tc>
      <w:tc>
        <w:tcPr>
          <w:tcW w:w="4787" w:type="dxa"/>
          <w:tcBorders>
            <w:top w:val="single" w:sz="4" w:space="0" w:color="000000"/>
            <w:left w:val="single" w:sz="4" w:space="0" w:color="000000"/>
            <w:bottom w:val="single" w:sz="4" w:space="0" w:color="000000"/>
            <w:right w:val="single" w:sz="4" w:space="0" w:color="000000"/>
          </w:tcBorders>
          <w:shd w:val="clear" w:color="auto" w:fill="auto"/>
        </w:tcPr>
        <w:p w:rsidR="0005034C" w:rsidRDefault="0005034C">
          <w:pPr>
            <w:pStyle w:val="Header"/>
            <w:jc w:val="center"/>
            <w:rPr>
              <w:b/>
            </w:rPr>
          </w:pPr>
        </w:p>
        <w:p w:rsidR="0005034C" w:rsidRDefault="00010BDA">
          <w:pPr>
            <w:jc w:val="center"/>
          </w:pPr>
          <w:r>
            <w:t>Data Processing:</w:t>
          </w:r>
        </w:p>
        <w:p w:rsidR="0005034C" w:rsidRDefault="00010BDA">
          <w:pPr>
            <w:pStyle w:val="Header"/>
            <w:jc w:val="center"/>
          </w:pPr>
          <w:r>
            <w:t xml:space="preserve">Create </w:t>
          </w:r>
          <w:proofErr w:type="spellStart"/>
          <w:r>
            <w:t>dem</w:t>
          </w:r>
          <w:proofErr w:type="spellEnd"/>
          <w:r>
            <w:t xml:space="preserve"> from topography and bathymetry</w:t>
          </w:r>
        </w:p>
      </w:tc>
      <w:tc>
        <w:tcPr>
          <w:tcW w:w="3092" w:type="dxa"/>
          <w:tcBorders>
            <w:top w:val="single" w:sz="4" w:space="0" w:color="000000"/>
            <w:left w:val="single" w:sz="4" w:space="0" w:color="000000"/>
            <w:bottom w:val="single" w:sz="4" w:space="0" w:color="000000"/>
            <w:right w:val="single" w:sz="4" w:space="0" w:color="000000"/>
          </w:tcBorders>
          <w:shd w:val="clear" w:color="auto" w:fill="auto"/>
        </w:tcPr>
        <w:p w:rsidR="0005034C" w:rsidRDefault="00010BDA">
          <w:pPr>
            <w:pStyle w:val="Header"/>
            <w:spacing w:before="120"/>
            <w:rPr>
              <w:b/>
              <w:sz w:val="20"/>
              <w:szCs w:val="20"/>
            </w:rPr>
          </w:pPr>
          <w:r>
            <w:rPr>
              <w:b/>
              <w:sz w:val="20"/>
              <w:szCs w:val="20"/>
            </w:rPr>
            <w:t>Process Number:</w:t>
          </w:r>
        </w:p>
        <w:p w:rsidR="0005034C" w:rsidRDefault="00010BDA">
          <w:pPr>
            <w:pStyle w:val="Header"/>
            <w:jc w:val="center"/>
          </w:pPr>
          <w:r>
            <w:t>340-F08</w:t>
          </w:r>
          <w:bookmarkStart w:id="1" w:name="_GoBack"/>
          <w:bookmarkEnd w:id="1"/>
        </w:p>
      </w:tc>
    </w:tr>
  </w:tbl>
  <w:p w:rsidR="0005034C" w:rsidRDefault="0005034C">
    <w:pPr>
      <w:pStyle w:val="Header"/>
      <w:spacing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BDA" w:rsidRDefault="00010B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C3A42"/>
    <w:multiLevelType w:val="multilevel"/>
    <w:tmpl w:val="58BEDF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624E93"/>
    <w:multiLevelType w:val="multilevel"/>
    <w:tmpl w:val="2026C462"/>
    <w:lvl w:ilvl="0">
      <w:start w:val="1"/>
      <w:numFmt w:val="bullet"/>
      <w:lvlText w:val=""/>
      <w:lvlJc w:val="left"/>
      <w:pPr>
        <w:tabs>
          <w:tab w:val="num" w:pos="720"/>
        </w:tabs>
        <w:ind w:left="720" w:hanging="360"/>
      </w:pPr>
      <w:rPr>
        <w:rFonts w:ascii="Symbol" w:hAnsi="Symbol" w:cs="OpenSymbol" w:hint="default"/>
        <w:sz w:val="1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0FF16B9"/>
    <w:multiLevelType w:val="multilevel"/>
    <w:tmpl w:val="FCAAB6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3A47F9F"/>
    <w:multiLevelType w:val="multilevel"/>
    <w:tmpl w:val="94B0A0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A06527A"/>
    <w:multiLevelType w:val="multilevel"/>
    <w:tmpl w:val="D026DAA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480500B"/>
    <w:multiLevelType w:val="multilevel"/>
    <w:tmpl w:val="E208ED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B351450"/>
    <w:multiLevelType w:val="multilevel"/>
    <w:tmpl w:val="FEFC97B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4BE5CBC"/>
    <w:multiLevelType w:val="multilevel"/>
    <w:tmpl w:val="E1224FF0"/>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F22BC5"/>
    <w:multiLevelType w:val="multilevel"/>
    <w:tmpl w:val="A30A6348"/>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4"/>
  </w:num>
  <w:num w:numId="3">
    <w:abstractNumId w:val="0"/>
  </w:num>
  <w:num w:numId="4">
    <w:abstractNumId w:val="1"/>
  </w:num>
  <w:num w:numId="5">
    <w:abstractNumId w:val="5"/>
  </w:num>
  <w:num w:numId="6">
    <w:abstractNumId w:val="7"/>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34C"/>
    <w:rsid w:val="00010BDA"/>
    <w:rsid w:val="0005034C"/>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E061AE6B-A58D-448D-BBC0-7AAD0312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Preformatted"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D91"/>
    <w:pPr>
      <w:spacing w:after="160" w:line="252" w:lineRule="auto"/>
      <w:jc w:val="both"/>
    </w:pPr>
    <w:rPr>
      <w:sz w:val="22"/>
    </w:rPr>
  </w:style>
  <w:style w:type="paragraph" w:styleId="Heading1">
    <w:name w:val="heading 1"/>
    <w:basedOn w:val="Normal"/>
    <w:next w:val="Normal"/>
    <w:link w:val="Heading1Char"/>
    <w:uiPriority w:val="9"/>
    <w:qFormat/>
    <w:rsid w:val="00801D9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801D9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01D9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01D9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01D9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01D9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01D9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01D9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01D9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864306"/>
  </w:style>
  <w:style w:type="character" w:customStyle="1" w:styleId="InternetLink">
    <w:name w:val="Internet Link"/>
    <w:rsid w:val="00E30EB8"/>
    <w:rPr>
      <w:color w:val="0000FF"/>
      <w:u w:val="single"/>
    </w:rPr>
  </w:style>
  <w:style w:type="character" w:styleId="HTMLCite">
    <w:name w:val="HTML Cite"/>
    <w:qFormat/>
    <w:rsid w:val="0048227F"/>
    <w:rPr>
      <w:i/>
      <w:iCs/>
    </w:rPr>
  </w:style>
  <w:style w:type="character" w:styleId="FollowedHyperlink">
    <w:name w:val="FollowedHyperlink"/>
    <w:qFormat/>
    <w:rsid w:val="000B70D1"/>
    <w:rPr>
      <w:color w:val="800080"/>
      <w:u w:val="single"/>
    </w:rPr>
  </w:style>
  <w:style w:type="character" w:customStyle="1" w:styleId="HeaderChar">
    <w:name w:val="Header Char"/>
    <w:basedOn w:val="DefaultParagraphFont"/>
    <w:link w:val="Header"/>
    <w:qFormat/>
    <w:rsid w:val="00F63BFE"/>
    <w:rPr>
      <w:rFonts w:ascii="Arial" w:hAnsi="Arial" w:cs="Arial"/>
      <w:sz w:val="24"/>
      <w:szCs w:val="24"/>
      <w:lang w:val="en-US" w:eastAsia="en-US"/>
    </w:rPr>
  </w:style>
  <w:style w:type="character" w:customStyle="1" w:styleId="HTMLPreformattedChar">
    <w:name w:val="HTML Preformatted Char"/>
    <w:basedOn w:val="DefaultParagraphFont"/>
    <w:link w:val="HTMLPreformatted"/>
    <w:uiPriority w:val="99"/>
    <w:qFormat/>
    <w:rsid w:val="00C23C53"/>
    <w:rPr>
      <w:rFonts w:ascii="Courier New" w:hAnsi="Courier New" w:cs="Courier New"/>
    </w:rPr>
  </w:style>
  <w:style w:type="character" w:customStyle="1" w:styleId="Heading1Char">
    <w:name w:val="Heading 1 Char"/>
    <w:basedOn w:val="DefaultParagraphFont"/>
    <w:link w:val="Heading1"/>
    <w:uiPriority w:val="9"/>
    <w:qFormat/>
    <w:rsid w:val="00801D9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qFormat/>
    <w:rsid w:val="00801D9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qFormat/>
    <w:rsid w:val="00801D9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qFormat/>
    <w:rsid w:val="00801D9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qFormat/>
    <w:rsid w:val="00801D9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qFormat/>
    <w:rsid w:val="00801D9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801D91"/>
    <w:rPr>
      <w:i/>
      <w:iCs/>
    </w:rPr>
  </w:style>
  <w:style w:type="character" w:customStyle="1" w:styleId="Heading8Char">
    <w:name w:val="Heading 8 Char"/>
    <w:basedOn w:val="DefaultParagraphFont"/>
    <w:link w:val="Heading8"/>
    <w:uiPriority w:val="9"/>
    <w:semiHidden/>
    <w:qFormat/>
    <w:rsid w:val="00801D91"/>
    <w:rPr>
      <w:b/>
      <w:bCs/>
    </w:rPr>
  </w:style>
  <w:style w:type="character" w:customStyle="1" w:styleId="Heading9Char">
    <w:name w:val="Heading 9 Char"/>
    <w:basedOn w:val="DefaultParagraphFont"/>
    <w:link w:val="Heading9"/>
    <w:uiPriority w:val="9"/>
    <w:semiHidden/>
    <w:qFormat/>
    <w:rsid w:val="00801D91"/>
    <w:rPr>
      <w:i/>
      <w:iCs/>
    </w:rPr>
  </w:style>
  <w:style w:type="character" w:customStyle="1" w:styleId="TitleChar">
    <w:name w:val="Title Char"/>
    <w:basedOn w:val="DefaultParagraphFont"/>
    <w:link w:val="Title"/>
    <w:uiPriority w:val="10"/>
    <w:qFormat/>
    <w:rsid w:val="00801D91"/>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qFormat/>
    <w:rsid w:val="00801D91"/>
    <w:rPr>
      <w:rFonts w:asciiTheme="majorHAnsi" w:eastAsiaTheme="majorEastAsia" w:hAnsiTheme="majorHAnsi" w:cstheme="majorBidi"/>
      <w:sz w:val="24"/>
      <w:szCs w:val="24"/>
    </w:rPr>
  </w:style>
  <w:style w:type="character" w:styleId="Strong">
    <w:name w:val="Strong"/>
    <w:basedOn w:val="DefaultParagraphFont"/>
    <w:uiPriority w:val="22"/>
    <w:qFormat/>
    <w:rsid w:val="00801D91"/>
    <w:rPr>
      <w:b/>
      <w:bCs/>
      <w:color w:val="auto"/>
    </w:rPr>
  </w:style>
  <w:style w:type="character" w:styleId="Emphasis">
    <w:name w:val="Emphasis"/>
    <w:basedOn w:val="DefaultParagraphFont"/>
    <w:uiPriority w:val="20"/>
    <w:qFormat/>
    <w:rsid w:val="00801D91"/>
    <w:rPr>
      <w:i/>
      <w:iCs/>
      <w:color w:val="auto"/>
    </w:rPr>
  </w:style>
  <w:style w:type="character" w:customStyle="1" w:styleId="QuoteChar">
    <w:name w:val="Quote Char"/>
    <w:basedOn w:val="DefaultParagraphFont"/>
    <w:link w:val="Quote"/>
    <w:uiPriority w:val="29"/>
    <w:qFormat/>
    <w:rsid w:val="00801D91"/>
    <w:rPr>
      <w:rFonts w:asciiTheme="majorHAnsi" w:eastAsiaTheme="majorEastAsia" w:hAnsiTheme="majorHAnsi" w:cstheme="majorBidi"/>
      <w:i/>
      <w:iCs/>
      <w:sz w:val="24"/>
      <w:szCs w:val="24"/>
    </w:rPr>
  </w:style>
  <w:style w:type="character" w:customStyle="1" w:styleId="IntenseQuoteChar">
    <w:name w:val="Intense Quote Char"/>
    <w:basedOn w:val="DefaultParagraphFont"/>
    <w:link w:val="IntenseQuote"/>
    <w:uiPriority w:val="30"/>
    <w:qFormat/>
    <w:rsid w:val="00801D9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01D91"/>
    <w:rPr>
      <w:i/>
      <w:iCs/>
      <w:color w:val="auto"/>
    </w:rPr>
  </w:style>
  <w:style w:type="character" w:styleId="IntenseEmphasis">
    <w:name w:val="Intense Emphasis"/>
    <w:basedOn w:val="DefaultParagraphFont"/>
    <w:uiPriority w:val="21"/>
    <w:qFormat/>
    <w:rsid w:val="00801D91"/>
    <w:rPr>
      <w:b/>
      <w:bCs/>
      <w:i/>
      <w:iCs/>
      <w:color w:val="auto"/>
    </w:rPr>
  </w:style>
  <w:style w:type="character" w:styleId="SubtleReference">
    <w:name w:val="Subtle Reference"/>
    <w:basedOn w:val="DefaultParagraphFont"/>
    <w:uiPriority w:val="31"/>
    <w:qFormat/>
    <w:rsid w:val="00801D91"/>
    <w:rPr>
      <w:smallCaps/>
      <w:color w:val="auto"/>
      <w:u w:val="single" w:color="7F7F7F"/>
    </w:rPr>
  </w:style>
  <w:style w:type="character" w:styleId="IntenseReference">
    <w:name w:val="Intense Reference"/>
    <w:basedOn w:val="DefaultParagraphFont"/>
    <w:uiPriority w:val="32"/>
    <w:qFormat/>
    <w:rsid w:val="00801D91"/>
    <w:rPr>
      <w:b/>
      <w:bCs/>
      <w:smallCaps/>
      <w:color w:val="auto"/>
      <w:u w:val="single"/>
    </w:rPr>
  </w:style>
  <w:style w:type="character" w:styleId="BookTitle">
    <w:name w:val="Book Title"/>
    <w:basedOn w:val="DefaultParagraphFont"/>
    <w:uiPriority w:val="33"/>
    <w:qFormat/>
    <w:rsid w:val="00801D91"/>
    <w:rPr>
      <w:b/>
      <w:bCs/>
      <w:smallCaps/>
      <w:color w:val="auto"/>
    </w:rPr>
  </w:style>
  <w:style w:type="character" w:styleId="HTMLTypewriter">
    <w:name w:val="HTML Typewriter"/>
    <w:basedOn w:val="DefaultParagraphFont"/>
    <w:uiPriority w:val="99"/>
    <w:unhideWhenUsed/>
    <w:qFormat/>
    <w:rsid w:val="00685F91"/>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sz w:val="20"/>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ascii="Times New Roman" w:eastAsia="Times New Roman" w:hAnsi="Times New Roman" w:cs="Times New Roman"/>
      <w:sz w:val="20"/>
      <w:szCs w:val="20"/>
    </w:rPr>
  </w:style>
  <w:style w:type="character" w:customStyle="1" w:styleId="ListLabel35">
    <w:name w:val="ListLabel 35"/>
    <w:qFormat/>
    <w:rPr>
      <w:rFonts w:eastAsia="Times New Roman" w:cs="Times New Roman"/>
      <w:sz w:val="20"/>
      <w:szCs w:val="20"/>
    </w:rPr>
  </w:style>
  <w:style w:type="character" w:customStyle="1" w:styleId="ListLabel36">
    <w:name w:val="ListLabel 36"/>
    <w:qFormat/>
    <w:rPr>
      <w:sz w:val="16"/>
      <w:szCs w:val="16"/>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Symbol"/>
      <w:sz w:val="20"/>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sz w:val="20"/>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sz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OpenSymbol"/>
      <w:sz w:val="16"/>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sz w:val="20"/>
      <w:szCs w:val="20"/>
    </w:rPr>
  </w:style>
  <w:style w:type="character" w:customStyle="1" w:styleId="ListLabel101">
    <w:name w:val="ListLabel 101"/>
    <w:qFormat/>
    <w:rPr>
      <w:rFonts w:eastAsia="Times New Roman" w:cs="Courier New"/>
      <w:color w:val="000000" w:themeColor="text1"/>
      <w:sz w:val="20"/>
      <w:szCs w:val="20"/>
    </w:rPr>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next w:val="Normal"/>
    <w:uiPriority w:val="35"/>
    <w:semiHidden/>
    <w:unhideWhenUsed/>
    <w:qFormat/>
    <w:rsid w:val="00801D91"/>
    <w:rPr>
      <w:b/>
      <w:bCs/>
      <w:sz w:val="18"/>
      <w:szCs w:val="18"/>
    </w:rPr>
  </w:style>
  <w:style w:type="paragraph" w:customStyle="1" w:styleId="Index">
    <w:name w:val="Index"/>
    <w:basedOn w:val="Normal"/>
    <w:qFormat/>
    <w:pPr>
      <w:suppressLineNumbers/>
    </w:pPr>
    <w:rPr>
      <w:rFonts w:cs="Arial Unicode MS"/>
    </w:rPr>
  </w:style>
  <w:style w:type="paragraph" w:styleId="Header">
    <w:name w:val="header"/>
    <w:basedOn w:val="Normal"/>
    <w:link w:val="HeaderChar"/>
    <w:rsid w:val="00864306"/>
    <w:pPr>
      <w:tabs>
        <w:tab w:val="center" w:pos="4320"/>
        <w:tab w:val="right" w:pos="8640"/>
      </w:tabs>
    </w:pPr>
  </w:style>
  <w:style w:type="paragraph" w:styleId="Footer">
    <w:name w:val="footer"/>
    <w:basedOn w:val="Normal"/>
    <w:rsid w:val="00864306"/>
    <w:pPr>
      <w:tabs>
        <w:tab w:val="center" w:pos="4320"/>
        <w:tab w:val="right" w:pos="8640"/>
      </w:tabs>
    </w:pPr>
  </w:style>
  <w:style w:type="paragraph" w:styleId="BalloonText">
    <w:name w:val="Balloon Text"/>
    <w:basedOn w:val="Normal"/>
    <w:semiHidden/>
    <w:qFormat/>
    <w:rsid w:val="003A7E05"/>
    <w:rPr>
      <w:rFonts w:ascii="Tahoma" w:hAnsi="Tahoma" w:cs="Tahoma"/>
      <w:sz w:val="16"/>
      <w:szCs w:val="16"/>
    </w:rPr>
  </w:style>
  <w:style w:type="paragraph" w:styleId="ListParagraph">
    <w:name w:val="List Paragraph"/>
    <w:basedOn w:val="Normal"/>
    <w:uiPriority w:val="34"/>
    <w:qFormat/>
    <w:rsid w:val="00951128"/>
    <w:pPr>
      <w:ind w:left="720"/>
      <w:contextualSpacing/>
    </w:pPr>
  </w:style>
  <w:style w:type="paragraph" w:styleId="HTMLPreformatted">
    <w:name w:val="HTML Preformatted"/>
    <w:basedOn w:val="Normal"/>
    <w:link w:val="HTMLPreformattedChar"/>
    <w:uiPriority w:val="99"/>
    <w:unhideWhenUsed/>
    <w:qFormat/>
    <w:rsid w:val="00C23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itle">
    <w:name w:val="Title"/>
    <w:basedOn w:val="Normal"/>
    <w:next w:val="Normal"/>
    <w:link w:val="TitleChar"/>
    <w:uiPriority w:val="10"/>
    <w:qFormat/>
    <w:rsid w:val="00801D91"/>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01D91"/>
    <w:pPr>
      <w:spacing w:after="240"/>
      <w:jc w:val="center"/>
    </w:pPr>
    <w:rPr>
      <w:rFonts w:asciiTheme="majorHAnsi" w:eastAsiaTheme="majorEastAsia" w:hAnsiTheme="majorHAnsi" w:cstheme="majorBidi"/>
      <w:sz w:val="24"/>
      <w:szCs w:val="24"/>
    </w:rPr>
  </w:style>
  <w:style w:type="paragraph" w:styleId="NoSpacing">
    <w:name w:val="No Spacing"/>
    <w:uiPriority w:val="1"/>
    <w:qFormat/>
    <w:rsid w:val="00801D91"/>
    <w:pPr>
      <w:jc w:val="both"/>
    </w:pPr>
    <w:rPr>
      <w:sz w:val="22"/>
    </w:rPr>
  </w:style>
  <w:style w:type="paragraph" w:styleId="Quote">
    <w:name w:val="Quote"/>
    <w:basedOn w:val="Normal"/>
    <w:next w:val="Normal"/>
    <w:link w:val="QuoteChar"/>
    <w:uiPriority w:val="29"/>
    <w:qFormat/>
    <w:rsid w:val="00801D91"/>
    <w:pPr>
      <w:spacing w:before="200" w:line="264" w:lineRule="auto"/>
      <w:ind w:left="864" w:right="864"/>
      <w:jc w:val="center"/>
    </w:pPr>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01D91"/>
    <w:pPr>
      <w:spacing w:beforeAutospacing="1" w:after="240"/>
      <w:ind w:left="936" w:right="936"/>
      <w:jc w:val="center"/>
    </w:pPr>
    <w:rPr>
      <w:rFonts w:asciiTheme="majorHAnsi" w:eastAsiaTheme="majorEastAsia" w:hAnsiTheme="majorHAnsi" w:cstheme="majorBidi"/>
      <w:sz w:val="26"/>
      <w:szCs w:val="26"/>
    </w:rPr>
  </w:style>
  <w:style w:type="paragraph" w:styleId="TOCHeading">
    <w:name w:val="TOC Heading"/>
    <w:basedOn w:val="Heading1"/>
    <w:next w:val="Normal"/>
    <w:uiPriority w:val="39"/>
    <w:semiHidden/>
    <w:unhideWhenUsed/>
    <w:qFormat/>
    <w:rsid w:val="00801D91"/>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864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7f245e4d-76c2-4caa-951a-45d1d205133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pen.canada.ca/data/en/dataset/d3881c4c-650d-4070-bf9b-1e00aabf0a1d"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09157-70C6-47DA-B3A0-40F0AB785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Peter</dc:creator>
  <dc:description/>
  <cp:lastModifiedBy>Terry Curran</cp:lastModifiedBy>
  <cp:revision>32</cp:revision>
  <cp:lastPrinted>2018-10-22T18:09:00Z</cp:lastPrinted>
  <dcterms:created xsi:type="dcterms:W3CDTF">2014-11-29T18:07:00Z</dcterms:created>
  <dcterms:modified xsi:type="dcterms:W3CDTF">2019-09-10T14:40:00Z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AdHocReviewCycleID">
    <vt:i4>-254218357</vt:i4>
  </property>
  <property fmtid="{D5CDD505-2E9C-101B-9397-08002B2CF9AE}" pid="9" name="_AuthorEmail">
    <vt:lpwstr>info@sidneymuseum.ca</vt:lpwstr>
  </property>
  <property fmtid="{D5CDD505-2E9C-101B-9397-08002B2CF9AE}" pid="10" name="_AuthorEmailDisplayName">
    <vt:lpwstr>Sidney Museum</vt:lpwstr>
  </property>
  <property fmtid="{D5CDD505-2E9C-101B-9397-08002B2CF9AE}" pid="11" name="_EmailSubject">
    <vt:lpwstr/>
  </property>
  <property fmtid="{D5CDD505-2E9C-101B-9397-08002B2CF9AE}" pid="12" name="_ReviewingToolsShownOnce">
    <vt:lpwstr/>
  </property>
</Properties>
</file>