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EB3D4" w14:textId="4C503C90" w:rsidR="00222DA0" w:rsidRPr="00157F44" w:rsidRDefault="001748D5" w:rsidP="00AD0C3F">
      <w:pPr>
        <w:keepNext/>
        <w:rPr>
          <w:bCs/>
        </w:rPr>
      </w:pPr>
      <w:r w:rsidRPr="000D79F0">
        <w:rPr>
          <w:b/>
        </w:rPr>
        <w:t>Purpose:</w:t>
      </w:r>
      <w:r w:rsidR="00F029BC">
        <w:rPr>
          <w:b/>
        </w:rPr>
        <w:t xml:space="preserve">  </w:t>
      </w:r>
      <w:r w:rsidR="00157F44">
        <w:t xml:space="preserve">If a dataset is acquired that is not available as </w:t>
      </w:r>
      <w:r w:rsidR="001D1F1A">
        <w:t>a REST service elsewhere, and has been approved for public distribution through the Strait of Georgia Data Centre by the data source, please follow the procedure below to add the dataset to the Strait of Georgia Data Centre architecture.</w:t>
      </w:r>
    </w:p>
    <w:p w14:paraId="149D5376" w14:textId="77777777" w:rsidR="001D5795" w:rsidRPr="001D5795" w:rsidRDefault="001D5795" w:rsidP="001D5795">
      <w:pPr>
        <w:keepNext/>
        <w:rPr>
          <w:bCs/>
        </w:rPr>
      </w:pPr>
    </w:p>
    <w:tbl>
      <w:tblPr>
        <w:tblStyle w:val="TableGrid"/>
        <w:tblW w:w="9356" w:type="dxa"/>
        <w:tblInd w:w="-6" w:type="dxa"/>
        <w:tblLayout w:type="fixed"/>
        <w:tblLook w:val="04A0" w:firstRow="1" w:lastRow="0" w:firstColumn="1" w:lastColumn="0" w:noHBand="0" w:noVBand="1"/>
      </w:tblPr>
      <w:tblGrid>
        <w:gridCol w:w="1621"/>
        <w:gridCol w:w="4770"/>
        <w:gridCol w:w="2965"/>
      </w:tblGrid>
      <w:tr w:rsidR="00623BA1" w14:paraId="7C47311F" w14:textId="77777777" w:rsidTr="00623BA1">
        <w:trPr>
          <w:trHeight w:val="454"/>
          <w:tblHeader/>
        </w:trPr>
        <w:tc>
          <w:tcPr>
            <w:tcW w:w="1621" w:type="dxa"/>
            <w:hideMark/>
          </w:tcPr>
          <w:p w14:paraId="1BD843A6" w14:textId="77777777" w:rsidR="00623BA1" w:rsidRDefault="00623BA1">
            <w:pPr>
              <w:rPr>
                <w:b/>
              </w:rPr>
            </w:pPr>
            <w:r>
              <w:rPr>
                <w:b/>
              </w:rPr>
              <w:t>Step</w:t>
            </w:r>
          </w:p>
        </w:tc>
        <w:tc>
          <w:tcPr>
            <w:tcW w:w="4770" w:type="dxa"/>
            <w:hideMark/>
          </w:tcPr>
          <w:p w14:paraId="52A7EF6D" w14:textId="77777777" w:rsidR="00623BA1" w:rsidRDefault="00623BA1">
            <w:pPr>
              <w:rPr>
                <w:b/>
              </w:rPr>
            </w:pPr>
            <w:r>
              <w:rPr>
                <w:b/>
              </w:rPr>
              <w:t>Major Activity</w:t>
            </w:r>
          </w:p>
        </w:tc>
        <w:tc>
          <w:tcPr>
            <w:tcW w:w="2965" w:type="dxa"/>
            <w:hideMark/>
          </w:tcPr>
          <w:p w14:paraId="0F990450" w14:textId="77777777" w:rsidR="00623BA1" w:rsidRDefault="00623BA1">
            <w:pPr>
              <w:rPr>
                <w:b/>
              </w:rPr>
            </w:pPr>
            <w:r>
              <w:rPr>
                <w:b/>
              </w:rPr>
              <w:t>References, Forms and Details</w:t>
            </w:r>
          </w:p>
        </w:tc>
      </w:tr>
      <w:tr w:rsidR="0069709C" w:rsidRPr="00A9471E" w14:paraId="3276D323" w14:textId="77777777" w:rsidTr="00623BA1">
        <w:trPr>
          <w:cantSplit/>
        </w:trPr>
        <w:tc>
          <w:tcPr>
            <w:tcW w:w="1621" w:type="dxa"/>
          </w:tcPr>
          <w:p w14:paraId="52347E14" w14:textId="36322EAB" w:rsidR="0069709C" w:rsidRPr="00A9471E" w:rsidRDefault="00536205" w:rsidP="0069709C">
            <w:pPr>
              <w:spacing w:before="60" w:after="60"/>
              <w:jc w:val="center"/>
              <w:rPr>
                <w:sz w:val="20"/>
                <w:szCs w:val="20"/>
              </w:rPr>
            </w:pPr>
            <w:r>
              <w:rPr>
                <w:sz w:val="20"/>
                <w:szCs w:val="20"/>
              </w:rPr>
              <w:t>1</w:t>
            </w:r>
          </w:p>
        </w:tc>
        <w:tc>
          <w:tcPr>
            <w:tcW w:w="4770" w:type="dxa"/>
          </w:tcPr>
          <w:p w14:paraId="42D59D02" w14:textId="07DA6F94" w:rsidR="009213E4" w:rsidRPr="00233B2C" w:rsidRDefault="00853215" w:rsidP="00233B2C">
            <w:pPr>
              <w:spacing w:before="60" w:after="60"/>
              <w:jc w:val="left"/>
              <w:rPr>
                <w:sz w:val="20"/>
                <w:szCs w:val="20"/>
              </w:rPr>
            </w:pPr>
            <w:r>
              <w:rPr>
                <w:sz w:val="20"/>
                <w:szCs w:val="20"/>
              </w:rPr>
              <w:t xml:space="preserve">Perform </w:t>
            </w:r>
            <w:r w:rsidR="00AD0C3F">
              <w:rPr>
                <w:sz w:val="20"/>
                <w:szCs w:val="20"/>
              </w:rPr>
              <w:t xml:space="preserve">any </w:t>
            </w:r>
            <w:r>
              <w:rPr>
                <w:sz w:val="20"/>
                <w:szCs w:val="20"/>
              </w:rPr>
              <w:t>necessary preliminary processing on dataset.</w:t>
            </w:r>
          </w:p>
        </w:tc>
        <w:tc>
          <w:tcPr>
            <w:tcW w:w="2965" w:type="dxa"/>
          </w:tcPr>
          <w:p w14:paraId="5CFDC3B6" w14:textId="77777777" w:rsidR="0069709C" w:rsidRDefault="00AD0C3F" w:rsidP="009213E4">
            <w:pPr>
              <w:spacing w:before="60" w:after="60"/>
              <w:rPr>
                <w:sz w:val="20"/>
                <w:szCs w:val="16"/>
              </w:rPr>
            </w:pPr>
            <w:r>
              <w:rPr>
                <w:sz w:val="20"/>
                <w:szCs w:val="16"/>
              </w:rPr>
              <w:t>e.g. Convert XLSX to CSV</w:t>
            </w:r>
          </w:p>
          <w:p w14:paraId="17F5241B" w14:textId="2B271E15" w:rsidR="00BE4606" w:rsidRPr="009213E4" w:rsidRDefault="00BE4606" w:rsidP="009213E4">
            <w:pPr>
              <w:spacing w:before="60" w:after="60"/>
              <w:rPr>
                <w:sz w:val="20"/>
                <w:szCs w:val="16"/>
              </w:rPr>
            </w:pPr>
            <w:r>
              <w:rPr>
                <w:sz w:val="20"/>
                <w:szCs w:val="16"/>
              </w:rPr>
              <w:t>- see process 370-01 for best practices on data processing</w:t>
            </w:r>
          </w:p>
        </w:tc>
      </w:tr>
      <w:tr w:rsidR="000128E3" w:rsidRPr="00A9471E" w14:paraId="139EF40D" w14:textId="77777777" w:rsidTr="00351FBD">
        <w:trPr>
          <w:cantSplit/>
          <w:trHeight w:val="646"/>
        </w:trPr>
        <w:tc>
          <w:tcPr>
            <w:tcW w:w="1621" w:type="dxa"/>
          </w:tcPr>
          <w:p w14:paraId="00F5663A" w14:textId="45776BDF" w:rsidR="000128E3" w:rsidRPr="00A9471E" w:rsidRDefault="00AD604F" w:rsidP="0069709C">
            <w:pPr>
              <w:spacing w:before="60" w:after="60"/>
              <w:jc w:val="center"/>
              <w:rPr>
                <w:sz w:val="20"/>
                <w:szCs w:val="20"/>
              </w:rPr>
            </w:pPr>
            <w:r>
              <w:rPr>
                <w:sz w:val="20"/>
                <w:szCs w:val="20"/>
              </w:rPr>
              <w:t>2</w:t>
            </w:r>
          </w:p>
        </w:tc>
        <w:tc>
          <w:tcPr>
            <w:tcW w:w="4770" w:type="dxa"/>
          </w:tcPr>
          <w:p w14:paraId="615F65B2" w14:textId="728E5651" w:rsidR="00233B2C" w:rsidRPr="00233B2C" w:rsidRDefault="00BE4606" w:rsidP="00AD604F">
            <w:pPr>
              <w:spacing w:before="60" w:after="60"/>
              <w:jc w:val="left"/>
              <w:rPr>
                <w:sz w:val="20"/>
                <w:szCs w:val="20"/>
              </w:rPr>
            </w:pPr>
            <w:r>
              <w:rPr>
                <w:sz w:val="20"/>
                <w:szCs w:val="20"/>
              </w:rPr>
              <w:t xml:space="preserve">Coordinate with database administration to add dataset to appropriate </w:t>
            </w:r>
            <w:proofErr w:type="spellStart"/>
            <w:r>
              <w:rPr>
                <w:sz w:val="20"/>
                <w:szCs w:val="20"/>
              </w:rPr>
              <w:t>SoGDC</w:t>
            </w:r>
            <w:proofErr w:type="spellEnd"/>
            <w:r>
              <w:rPr>
                <w:sz w:val="20"/>
                <w:szCs w:val="20"/>
              </w:rPr>
              <w:t xml:space="preserve"> PostgreSQL database.</w:t>
            </w:r>
          </w:p>
        </w:tc>
        <w:tc>
          <w:tcPr>
            <w:tcW w:w="2965" w:type="dxa"/>
          </w:tcPr>
          <w:p w14:paraId="72FB9039" w14:textId="77777777" w:rsidR="000128E3" w:rsidRDefault="004772A0" w:rsidP="0069709C">
            <w:pPr>
              <w:spacing w:before="60" w:after="60"/>
              <w:rPr>
                <w:sz w:val="20"/>
                <w:szCs w:val="16"/>
              </w:rPr>
            </w:pPr>
            <w:r>
              <w:rPr>
                <w:sz w:val="20"/>
                <w:szCs w:val="16"/>
              </w:rPr>
              <w:t xml:space="preserve">If database administrator </w:t>
            </w:r>
            <w:proofErr w:type="gramStart"/>
            <w:r>
              <w:rPr>
                <w:sz w:val="20"/>
                <w:szCs w:val="16"/>
              </w:rPr>
              <w:t>see</w:t>
            </w:r>
            <w:proofErr w:type="gramEnd"/>
            <w:r w:rsidR="0070579D">
              <w:rPr>
                <w:sz w:val="20"/>
                <w:szCs w:val="16"/>
              </w:rPr>
              <w:t xml:space="preserve">, for example; </w:t>
            </w:r>
          </w:p>
          <w:p w14:paraId="5D8C7F6E" w14:textId="77777777" w:rsidR="0070579D" w:rsidRDefault="0070579D" w:rsidP="0070579D">
            <w:pPr>
              <w:spacing w:before="60" w:after="60"/>
              <w:rPr>
                <w:sz w:val="20"/>
                <w:szCs w:val="16"/>
              </w:rPr>
            </w:pPr>
            <w:r>
              <w:rPr>
                <w:sz w:val="20"/>
                <w:szCs w:val="16"/>
              </w:rPr>
              <w:t xml:space="preserve">-process 370-03 Loading SHAPEFILE data into </w:t>
            </w:r>
            <w:proofErr w:type="spellStart"/>
            <w:r>
              <w:rPr>
                <w:sz w:val="20"/>
                <w:szCs w:val="16"/>
              </w:rPr>
              <w:t>PostGIS</w:t>
            </w:r>
            <w:proofErr w:type="spellEnd"/>
          </w:p>
          <w:p w14:paraId="23CD3CB7" w14:textId="1DEC7A0C" w:rsidR="0070579D" w:rsidRPr="0070579D" w:rsidRDefault="0070579D" w:rsidP="0070579D">
            <w:pPr>
              <w:spacing w:before="60" w:after="60"/>
              <w:rPr>
                <w:sz w:val="20"/>
                <w:szCs w:val="16"/>
              </w:rPr>
            </w:pPr>
            <w:r>
              <w:rPr>
                <w:sz w:val="20"/>
                <w:szCs w:val="16"/>
              </w:rPr>
              <w:t xml:space="preserve">-process 370-05 Loading CSV data into </w:t>
            </w:r>
            <w:proofErr w:type="spellStart"/>
            <w:r>
              <w:rPr>
                <w:sz w:val="20"/>
                <w:szCs w:val="16"/>
              </w:rPr>
              <w:t>PostGIS</w:t>
            </w:r>
            <w:proofErr w:type="spellEnd"/>
          </w:p>
        </w:tc>
      </w:tr>
      <w:tr w:rsidR="003907B3" w:rsidRPr="00A9471E" w14:paraId="5D04A98E" w14:textId="77777777" w:rsidTr="00750DEE">
        <w:trPr>
          <w:cantSplit/>
          <w:trHeight w:val="674"/>
        </w:trPr>
        <w:tc>
          <w:tcPr>
            <w:tcW w:w="1621" w:type="dxa"/>
          </w:tcPr>
          <w:p w14:paraId="6DAAC98B" w14:textId="62ADF5AD" w:rsidR="003907B3" w:rsidRDefault="00AD604F" w:rsidP="0069709C">
            <w:pPr>
              <w:spacing w:before="60" w:after="60"/>
              <w:jc w:val="center"/>
              <w:rPr>
                <w:sz w:val="20"/>
                <w:szCs w:val="20"/>
              </w:rPr>
            </w:pPr>
            <w:r>
              <w:rPr>
                <w:sz w:val="20"/>
                <w:szCs w:val="20"/>
              </w:rPr>
              <w:t>3</w:t>
            </w:r>
          </w:p>
        </w:tc>
        <w:tc>
          <w:tcPr>
            <w:tcW w:w="4770" w:type="dxa"/>
          </w:tcPr>
          <w:p w14:paraId="4C02DAF9" w14:textId="096BF10E" w:rsidR="003907B3" w:rsidRPr="00233B2C" w:rsidRDefault="0070579D" w:rsidP="0024787C">
            <w:pPr>
              <w:spacing w:before="60" w:after="60"/>
              <w:jc w:val="left"/>
              <w:rPr>
                <w:sz w:val="20"/>
                <w:szCs w:val="20"/>
              </w:rPr>
            </w:pPr>
            <w:r>
              <w:rPr>
                <w:sz w:val="20"/>
                <w:szCs w:val="20"/>
              </w:rPr>
              <w:t xml:space="preserve">Once the dataset is in the database, create and style a layer in </w:t>
            </w:r>
            <w:proofErr w:type="spellStart"/>
            <w:r>
              <w:rPr>
                <w:sz w:val="20"/>
                <w:szCs w:val="20"/>
              </w:rPr>
              <w:t>GeoServer</w:t>
            </w:r>
            <w:proofErr w:type="spellEnd"/>
            <w:r>
              <w:rPr>
                <w:sz w:val="20"/>
                <w:szCs w:val="20"/>
              </w:rPr>
              <w:t xml:space="preserve">. </w:t>
            </w:r>
          </w:p>
        </w:tc>
        <w:tc>
          <w:tcPr>
            <w:tcW w:w="2965" w:type="dxa"/>
          </w:tcPr>
          <w:p w14:paraId="24975781" w14:textId="5F53306F" w:rsidR="003907B3" w:rsidRPr="0070579D" w:rsidRDefault="0070579D" w:rsidP="0070579D">
            <w:pPr>
              <w:spacing w:before="60" w:after="60"/>
              <w:rPr>
                <w:sz w:val="20"/>
                <w:szCs w:val="16"/>
              </w:rPr>
            </w:pPr>
            <w:r>
              <w:rPr>
                <w:sz w:val="20"/>
                <w:szCs w:val="16"/>
              </w:rPr>
              <w:t xml:space="preserve">-see process 370-07 ‘Creating and Styling a </w:t>
            </w:r>
            <w:proofErr w:type="spellStart"/>
            <w:r>
              <w:rPr>
                <w:sz w:val="20"/>
                <w:szCs w:val="16"/>
              </w:rPr>
              <w:t>GeoServer</w:t>
            </w:r>
            <w:proofErr w:type="spellEnd"/>
            <w:r>
              <w:rPr>
                <w:sz w:val="20"/>
                <w:szCs w:val="16"/>
              </w:rPr>
              <w:t xml:space="preserve"> layer’</w:t>
            </w:r>
          </w:p>
        </w:tc>
      </w:tr>
      <w:tr w:rsidR="00222DA0" w:rsidRPr="00A9471E" w14:paraId="72534D42" w14:textId="77777777" w:rsidTr="00623BA1">
        <w:trPr>
          <w:cantSplit/>
        </w:trPr>
        <w:tc>
          <w:tcPr>
            <w:tcW w:w="1621" w:type="dxa"/>
          </w:tcPr>
          <w:p w14:paraId="1A592D8D" w14:textId="2A8CB1B9" w:rsidR="00222DA0" w:rsidRDefault="00222DA0" w:rsidP="0069709C">
            <w:pPr>
              <w:spacing w:before="60" w:after="60"/>
              <w:jc w:val="center"/>
              <w:rPr>
                <w:sz w:val="20"/>
                <w:szCs w:val="20"/>
              </w:rPr>
            </w:pPr>
            <w:r>
              <w:rPr>
                <w:sz w:val="20"/>
                <w:szCs w:val="20"/>
              </w:rPr>
              <w:t>4</w:t>
            </w:r>
          </w:p>
        </w:tc>
        <w:tc>
          <w:tcPr>
            <w:tcW w:w="4770" w:type="dxa"/>
          </w:tcPr>
          <w:p w14:paraId="6A35308B" w14:textId="4923F86C" w:rsidR="00F96654" w:rsidRPr="00F96654" w:rsidRDefault="00F96654" w:rsidP="00F96654">
            <w:pPr>
              <w:spacing w:before="60" w:after="60"/>
              <w:jc w:val="left"/>
              <w:rPr>
                <w:sz w:val="20"/>
                <w:szCs w:val="20"/>
              </w:rPr>
            </w:pPr>
            <w:r>
              <w:rPr>
                <w:sz w:val="20"/>
                <w:szCs w:val="20"/>
              </w:rPr>
              <w:t>Create or harvest metadata for the record</w:t>
            </w:r>
            <w:r w:rsidR="004E3D76">
              <w:rPr>
                <w:sz w:val="20"/>
                <w:szCs w:val="20"/>
              </w:rPr>
              <w:t>.</w:t>
            </w:r>
          </w:p>
        </w:tc>
        <w:tc>
          <w:tcPr>
            <w:tcW w:w="2965" w:type="dxa"/>
          </w:tcPr>
          <w:p w14:paraId="3382D256" w14:textId="77777777" w:rsidR="00222DA0" w:rsidRDefault="00F96654" w:rsidP="00F96654">
            <w:pPr>
              <w:spacing w:before="60" w:after="60"/>
              <w:rPr>
                <w:sz w:val="20"/>
                <w:szCs w:val="16"/>
              </w:rPr>
            </w:pPr>
            <w:r>
              <w:rPr>
                <w:sz w:val="20"/>
                <w:szCs w:val="16"/>
              </w:rPr>
              <w:t>-if creating new metadata see process 360-03</w:t>
            </w:r>
          </w:p>
          <w:p w14:paraId="159438CA" w14:textId="6704B55E" w:rsidR="00F96654" w:rsidRPr="00F96654" w:rsidRDefault="00F96654" w:rsidP="00F96654">
            <w:pPr>
              <w:spacing w:before="60" w:after="60"/>
              <w:rPr>
                <w:sz w:val="20"/>
                <w:szCs w:val="16"/>
              </w:rPr>
            </w:pPr>
            <w:r>
              <w:rPr>
                <w:sz w:val="20"/>
                <w:szCs w:val="16"/>
              </w:rPr>
              <w:t>-</w:t>
            </w:r>
            <w:r w:rsidR="00F449A2">
              <w:rPr>
                <w:sz w:val="20"/>
                <w:szCs w:val="16"/>
              </w:rPr>
              <w:t>note – pre-existing me</w:t>
            </w:r>
            <w:r w:rsidR="005B4887">
              <w:rPr>
                <w:sz w:val="20"/>
                <w:szCs w:val="16"/>
              </w:rPr>
              <w:t>ta</w:t>
            </w:r>
            <w:r w:rsidR="00F449A2">
              <w:rPr>
                <w:sz w:val="20"/>
                <w:szCs w:val="16"/>
              </w:rPr>
              <w:t>data can oftentimes be harvested and reused (e.g. from Government of Canada Open Data portal)</w:t>
            </w:r>
          </w:p>
        </w:tc>
      </w:tr>
      <w:tr w:rsidR="00750DEE" w:rsidRPr="00A9471E" w14:paraId="25416972" w14:textId="77777777" w:rsidTr="00623BA1">
        <w:trPr>
          <w:cantSplit/>
        </w:trPr>
        <w:tc>
          <w:tcPr>
            <w:tcW w:w="1621" w:type="dxa"/>
          </w:tcPr>
          <w:p w14:paraId="2B8C10FD" w14:textId="65C03D9A" w:rsidR="00750DEE" w:rsidRDefault="00222DA0" w:rsidP="0069709C">
            <w:pPr>
              <w:spacing w:before="60" w:after="60"/>
              <w:jc w:val="center"/>
              <w:rPr>
                <w:sz w:val="20"/>
                <w:szCs w:val="20"/>
              </w:rPr>
            </w:pPr>
            <w:r>
              <w:rPr>
                <w:sz w:val="20"/>
                <w:szCs w:val="20"/>
              </w:rPr>
              <w:t>5</w:t>
            </w:r>
          </w:p>
        </w:tc>
        <w:tc>
          <w:tcPr>
            <w:tcW w:w="4770" w:type="dxa"/>
          </w:tcPr>
          <w:p w14:paraId="377482BE" w14:textId="03FE2546" w:rsidR="00D76367" w:rsidRPr="00D76367" w:rsidRDefault="004E3D76" w:rsidP="0024787C">
            <w:pPr>
              <w:spacing w:before="60" w:after="60"/>
              <w:jc w:val="left"/>
              <w:rPr>
                <w:sz w:val="20"/>
                <w:szCs w:val="20"/>
              </w:rPr>
            </w:pPr>
            <w:r>
              <w:rPr>
                <w:sz w:val="20"/>
                <w:szCs w:val="20"/>
              </w:rPr>
              <w:t xml:space="preserve">Add the metadata file to the </w:t>
            </w:r>
            <w:proofErr w:type="spellStart"/>
            <w:r>
              <w:rPr>
                <w:sz w:val="20"/>
                <w:szCs w:val="20"/>
              </w:rPr>
              <w:t>SoGDC</w:t>
            </w:r>
            <w:proofErr w:type="spellEnd"/>
            <w:r>
              <w:rPr>
                <w:sz w:val="20"/>
                <w:szCs w:val="20"/>
              </w:rPr>
              <w:t xml:space="preserve"> </w:t>
            </w:r>
            <w:proofErr w:type="spellStart"/>
            <w:r>
              <w:rPr>
                <w:sz w:val="20"/>
                <w:szCs w:val="20"/>
              </w:rPr>
              <w:t>GeoNetwork</w:t>
            </w:r>
            <w:proofErr w:type="spellEnd"/>
            <w:r>
              <w:rPr>
                <w:sz w:val="20"/>
                <w:szCs w:val="20"/>
              </w:rPr>
              <w:t>.</w:t>
            </w:r>
          </w:p>
        </w:tc>
        <w:tc>
          <w:tcPr>
            <w:tcW w:w="2965" w:type="dxa"/>
          </w:tcPr>
          <w:p w14:paraId="0BC87BC8" w14:textId="3874D768" w:rsidR="00D76367" w:rsidRPr="004E3D76" w:rsidRDefault="004E3D76" w:rsidP="004E3D76">
            <w:pPr>
              <w:spacing w:before="60" w:after="60"/>
              <w:rPr>
                <w:sz w:val="20"/>
                <w:szCs w:val="16"/>
              </w:rPr>
            </w:pPr>
            <w:r>
              <w:rPr>
                <w:sz w:val="20"/>
                <w:szCs w:val="16"/>
              </w:rPr>
              <w:t xml:space="preserve">-see process 360-04 Load metadata packages into </w:t>
            </w:r>
            <w:proofErr w:type="spellStart"/>
            <w:r>
              <w:rPr>
                <w:sz w:val="20"/>
                <w:szCs w:val="16"/>
              </w:rPr>
              <w:t>GeoNetwork</w:t>
            </w:r>
            <w:proofErr w:type="spellEnd"/>
            <w:r>
              <w:rPr>
                <w:sz w:val="20"/>
                <w:szCs w:val="16"/>
              </w:rPr>
              <w:t xml:space="preserve"> </w:t>
            </w:r>
          </w:p>
        </w:tc>
      </w:tr>
      <w:tr w:rsidR="00C875F9" w:rsidRPr="00A9471E" w14:paraId="0F8995A3" w14:textId="77777777" w:rsidTr="00623BA1">
        <w:trPr>
          <w:cantSplit/>
        </w:trPr>
        <w:tc>
          <w:tcPr>
            <w:tcW w:w="1621" w:type="dxa"/>
          </w:tcPr>
          <w:p w14:paraId="598CF966" w14:textId="77C2827D" w:rsidR="00C875F9" w:rsidRDefault="00C875F9" w:rsidP="0069709C">
            <w:pPr>
              <w:spacing w:before="60" w:after="60"/>
              <w:jc w:val="center"/>
              <w:rPr>
                <w:sz w:val="20"/>
                <w:szCs w:val="20"/>
              </w:rPr>
            </w:pPr>
            <w:r>
              <w:rPr>
                <w:sz w:val="20"/>
                <w:szCs w:val="20"/>
              </w:rPr>
              <w:t>6</w:t>
            </w:r>
          </w:p>
        </w:tc>
        <w:tc>
          <w:tcPr>
            <w:tcW w:w="4770" w:type="dxa"/>
          </w:tcPr>
          <w:p w14:paraId="104891E7" w14:textId="529D3839" w:rsidR="00C875F9" w:rsidRDefault="004E3D76" w:rsidP="00853215">
            <w:pPr>
              <w:spacing w:before="60" w:after="60"/>
              <w:jc w:val="left"/>
              <w:rPr>
                <w:sz w:val="20"/>
                <w:szCs w:val="20"/>
              </w:rPr>
            </w:pPr>
            <w:r>
              <w:rPr>
                <w:sz w:val="20"/>
                <w:szCs w:val="20"/>
              </w:rPr>
              <w:t xml:space="preserve">Add a WFS link within the </w:t>
            </w:r>
            <w:proofErr w:type="spellStart"/>
            <w:r>
              <w:rPr>
                <w:sz w:val="20"/>
                <w:szCs w:val="20"/>
              </w:rPr>
              <w:t>GeoNetwork</w:t>
            </w:r>
            <w:proofErr w:type="spellEnd"/>
            <w:r>
              <w:rPr>
                <w:sz w:val="20"/>
                <w:szCs w:val="20"/>
              </w:rPr>
              <w:t xml:space="preserve"> record to the </w:t>
            </w:r>
            <w:proofErr w:type="spellStart"/>
            <w:r>
              <w:rPr>
                <w:sz w:val="20"/>
                <w:szCs w:val="20"/>
              </w:rPr>
              <w:t>GeoServer</w:t>
            </w:r>
            <w:proofErr w:type="spellEnd"/>
            <w:r>
              <w:rPr>
                <w:sz w:val="20"/>
                <w:szCs w:val="20"/>
              </w:rPr>
              <w:t xml:space="preserve"> data layer service created in step 3. </w:t>
            </w:r>
          </w:p>
        </w:tc>
        <w:tc>
          <w:tcPr>
            <w:tcW w:w="2965" w:type="dxa"/>
          </w:tcPr>
          <w:p w14:paraId="4B1213AC" w14:textId="41682321" w:rsidR="00C875F9" w:rsidRDefault="004E3D76" w:rsidP="000A4A30">
            <w:pPr>
              <w:spacing w:before="60" w:after="60"/>
              <w:rPr>
                <w:sz w:val="20"/>
                <w:szCs w:val="16"/>
              </w:rPr>
            </w:pPr>
            <w:r>
              <w:rPr>
                <w:sz w:val="20"/>
                <w:szCs w:val="16"/>
              </w:rPr>
              <w:t>-this WFS layer service will serve as the data download.</w:t>
            </w:r>
          </w:p>
        </w:tc>
        <w:bookmarkStart w:id="0" w:name="_GoBack"/>
        <w:bookmarkEnd w:id="0"/>
      </w:tr>
      <w:tr w:rsidR="00750DEE" w:rsidRPr="00A9471E" w14:paraId="69F4EF92" w14:textId="77777777" w:rsidTr="001D1F1A">
        <w:trPr>
          <w:cantSplit/>
          <w:trHeight w:val="687"/>
        </w:trPr>
        <w:tc>
          <w:tcPr>
            <w:tcW w:w="1621" w:type="dxa"/>
          </w:tcPr>
          <w:p w14:paraId="5D6DC417" w14:textId="49C0A98F" w:rsidR="00750DEE" w:rsidRDefault="00C875F9" w:rsidP="0069709C">
            <w:pPr>
              <w:spacing w:before="60" w:after="60"/>
              <w:jc w:val="center"/>
              <w:rPr>
                <w:sz w:val="20"/>
                <w:szCs w:val="20"/>
              </w:rPr>
            </w:pPr>
            <w:r>
              <w:rPr>
                <w:sz w:val="20"/>
                <w:szCs w:val="20"/>
              </w:rPr>
              <w:t>7</w:t>
            </w:r>
          </w:p>
        </w:tc>
        <w:tc>
          <w:tcPr>
            <w:tcW w:w="4770" w:type="dxa"/>
          </w:tcPr>
          <w:p w14:paraId="570884B0" w14:textId="3C7AE8F2" w:rsidR="002C1274" w:rsidRPr="00646EA0" w:rsidRDefault="004E3D76" w:rsidP="00FF28DF">
            <w:pPr>
              <w:spacing w:before="60" w:after="60"/>
              <w:jc w:val="left"/>
              <w:rPr>
                <w:sz w:val="20"/>
                <w:szCs w:val="20"/>
              </w:rPr>
            </w:pPr>
            <w:r>
              <w:rPr>
                <w:sz w:val="20"/>
                <w:szCs w:val="20"/>
              </w:rPr>
              <w:t xml:space="preserve">Add any additional necessary links within the </w:t>
            </w:r>
            <w:proofErr w:type="spellStart"/>
            <w:r>
              <w:rPr>
                <w:sz w:val="20"/>
                <w:szCs w:val="20"/>
              </w:rPr>
              <w:t>GeoNetwork</w:t>
            </w:r>
            <w:proofErr w:type="spellEnd"/>
            <w:r>
              <w:rPr>
                <w:sz w:val="20"/>
                <w:szCs w:val="20"/>
              </w:rPr>
              <w:t xml:space="preserve"> record.</w:t>
            </w:r>
          </w:p>
        </w:tc>
        <w:tc>
          <w:tcPr>
            <w:tcW w:w="2965" w:type="dxa"/>
          </w:tcPr>
          <w:p w14:paraId="7CD74813" w14:textId="45253748" w:rsidR="00646EA0" w:rsidRPr="00A9471E" w:rsidRDefault="004E3D76" w:rsidP="0069709C">
            <w:pPr>
              <w:spacing w:before="60" w:after="60"/>
              <w:rPr>
                <w:sz w:val="20"/>
                <w:szCs w:val="16"/>
              </w:rPr>
            </w:pPr>
            <w:r>
              <w:rPr>
                <w:sz w:val="20"/>
                <w:szCs w:val="16"/>
              </w:rPr>
              <w:t>e.g. Associated webpages, associated reports.</w:t>
            </w:r>
          </w:p>
        </w:tc>
      </w:tr>
      <w:tr w:rsidR="006513B6" w:rsidRPr="00A9471E" w14:paraId="1FF3D56B" w14:textId="77777777" w:rsidTr="008E3FB8">
        <w:trPr>
          <w:cantSplit/>
          <w:trHeight w:val="1191"/>
        </w:trPr>
        <w:tc>
          <w:tcPr>
            <w:tcW w:w="1621" w:type="dxa"/>
          </w:tcPr>
          <w:p w14:paraId="59458690" w14:textId="4ACAC0B1" w:rsidR="006513B6" w:rsidRDefault="00C875F9" w:rsidP="0069709C">
            <w:pPr>
              <w:spacing w:before="60" w:after="60"/>
              <w:jc w:val="center"/>
              <w:rPr>
                <w:sz w:val="20"/>
                <w:szCs w:val="20"/>
              </w:rPr>
            </w:pPr>
            <w:r>
              <w:rPr>
                <w:sz w:val="20"/>
                <w:szCs w:val="20"/>
              </w:rPr>
              <w:t>8</w:t>
            </w:r>
          </w:p>
        </w:tc>
        <w:tc>
          <w:tcPr>
            <w:tcW w:w="4770" w:type="dxa"/>
          </w:tcPr>
          <w:p w14:paraId="5B4818C7" w14:textId="35FF7E4C" w:rsidR="006513B6" w:rsidRPr="00E712FD" w:rsidRDefault="004E3D76" w:rsidP="0024787C">
            <w:pPr>
              <w:spacing w:before="60" w:after="60"/>
              <w:jc w:val="left"/>
              <w:rPr>
                <w:sz w:val="20"/>
                <w:szCs w:val="20"/>
              </w:rPr>
            </w:pPr>
            <w:r>
              <w:rPr>
                <w:sz w:val="20"/>
                <w:szCs w:val="20"/>
              </w:rPr>
              <w:t>(optional) Add the layer to the Strait of Georgia Marine Reference Guide (SOG MRG) by working with the SOG MRG administrator.</w:t>
            </w:r>
          </w:p>
        </w:tc>
        <w:tc>
          <w:tcPr>
            <w:tcW w:w="2965" w:type="dxa"/>
          </w:tcPr>
          <w:p w14:paraId="77EB7BA8" w14:textId="04C0F56A" w:rsidR="00D1528E" w:rsidRPr="00D1528E" w:rsidRDefault="00D1528E" w:rsidP="00D1528E">
            <w:pPr>
              <w:spacing w:before="60" w:after="60"/>
              <w:rPr>
                <w:sz w:val="20"/>
                <w:szCs w:val="16"/>
              </w:rPr>
            </w:pPr>
          </w:p>
        </w:tc>
      </w:tr>
    </w:tbl>
    <w:p w14:paraId="69D1A248" w14:textId="31127617" w:rsidR="0069709C" w:rsidRPr="00A9471E" w:rsidRDefault="0069709C" w:rsidP="0052150D">
      <w:pPr>
        <w:spacing w:after="0"/>
        <w:rPr>
          <w:sz w:val="20"/>
          <w:szCs w:val="20"/>
        </w:rPr>
      </w:pPr>
    </w:p>
    <w:sectPr w:rsidR="0069709C" w:rsidRPr="00A9471E" w:rsidSect="00176C8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A5AE3" w14:textId="77777777" w:rsidR="00F7571B" w:rsidRDefault="00F7571B">
      <w:r>
        <w:separator/>
      </w:r>
    </w:p>
  </w:endnote>
  <w:endnote w:type="continuationSeparator" w:id="0">
    <w:p w14:paraId="76A16831" w14:textId="77777777" w:rsidR="00F7571B" w:rsidRDefault="00F75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4117"/>
      <w:gridCol w:w="3060"/>
    </w:tblGrid>
    <w:tr w:rsidR="001D4C92" w14:paraId="19C31F0E" w14:textId="77777777" w:rsidTr="00176C8A">
      <w:tc>
        <w:tcPr>
          <w:tcW w:w="2268" w:type="dxa"/>
          <w:shd w:val="clear" w:color="auto" w:fill="auto"/>
        </w:tcPr>
        <w:p w14:paraId="40671DD2" w14:textId="77777777" w:rsidR="001D4C92" w:rsidRPr="00F103A9" w:rsidRDefault="001D4C92">
          <w:pPr>
            <w:pStyle w:val="Footer"/>
            <w:rPr>
              <w:b/>
              <w:sz w:val="20"/>
              <w:szCs w:val="20"/>
            </w:rPr>
          </w:pPr>
          <w:r w:rsidRPr="00F103A9">
            <w:rPr>
              <w:b/>
              <w:sz w:val="20"/>
              <w:szCs w:val="20"/>
            </w:rPr>
            <w:t>Created by:</w:t>
          </w:r>
        </w:p>
        <w:p w14:paraId="4EEFCE2B" w14:textId="7F6CE336" w:rsidR="001D4C92" w:rsidRPr="00F103A9" w:rsidRDefault="001D0D7E" w:rsidP="00F103A9">
          <w:pPr>
            <w:pStyle w:val="Footer"/>
            <w:jc w:val="center"/>
            <w:rPr>
              <w:sz w:val="20"/>
              <w:szCs w:val="20"/>
            </w:rPr>
          </w:pPr>
          <w:r>
            <w:rPr>
              <w:sz w:val="20"/>
              <w:szCs w:val="20"/>
            </w:rPr>
            <w:t>Benjamin Skinner, B.Sc.</w:t>
          </w:r>
        </w:p>
      </w:tc>
      <w:tc>
        <w:tcPr>
          <w:tcW w:w="4117" w:type="dxa"/>
          <w:shd w:val="clear" w:color="auto" w:fill="auto"/>
        </w:tcPr>
        <w:p w14:paraId="60C52009" w14:textId="77777777" w:rsidR="001D4C92" w:rsidRPr="00F103A9" w:rsidRDefault="001D4C92">
          <w:pPr>
            <w:pStyle w:val="Footer"/>
            <w:rPr>
              <w:b/>
              <w:sz w:val="20"/>
              <w:szCs w:val="20"/>
            </w:rPr>
          </w:pPr>
          <w:r w:rsidRPr="00F103A9">
            <w:rPr>
              <w:b/>
              <w:sz w:val="20"/>
              <w:szCs w:val="20"/>
            </w:rPr>
            <w:t>Approved by process owner / date:</w:t>
          </w:r>
        </w:p>
        <w:p w14:paraId="056AE000" w14:textId="2C9D7345" w:rsidR="00AD0C3F" w:rsidRPr="00AD0C3F" w:rsidRDefault="001D0D7E" w:rsidP="00AD0C3F">
          <w:pPr>
            <w:pStyle w:val="Footer"/>
            <w:spacing w:after="240"/>
            <w:jc w:val="center"/>
            <w:rPr>
              <w:color w:val="000000" w:themeColor="text1"/>
              <w:sz w:val="20"/>
              <w:szCs w:val="20"/>
            </w:rPr>
          </w:pPr>
          <w:r>
            <w:rPr>
              <w:color w:val="000000" w:themeColor="text1"/>
              <w:sz w:val="20"/>
              <w:szCs w:val="20"/>
            </w:rPr>
            <w:t>Ben</w:t>
          </w:r>
          <w:r w:rsidR="00536205">
            <w:rPr>
              <w:color w:val="000000" w:themeColor="text1"/>
              <w:sz w:val="20"/>
              <w:szCs w:val="20"/>
            </w:rPr>
            <w:t xml:space="preserve">jamin Skinner, B.Sc. / </w:t>
          </w:r>
          <w:r w:rsidR="004B5353">
            <w:rPr>
              <w:color w:val="000000" w:themeColor="text1"/>
              <w:sz w:val="20"/>
              <w:szCs w:val="20"/>
            </w:rPr>
            <w:t>202</w:t>
          </w:r>
          <w:r w:rsidR="00AD0C3F">
            <w:rPr>
              <w:color w:val="000000" w:themeColor="text1"/>
              <w:sz w:val="20"/>
              <w:szCs w:val="20"/>
            </w:rPr>
            <w:t>2-10-27</w:t>
          </w:r>
        </w:p>
      </w:tc>
      <w:tc>
        <w:tcPr>
          <w:tcW w:w="3060" w:type="dxa"/>
          <w:shd w:val="clear" w:color="auto" w:fill="auto"/>
        </w:tcPr>
        <w:p w14:paraId="70201499" w14:textId="77777777" w:rsidR="001D4C92" w:rsidRPr="00F103A9" w:rsidRDefault="001D4C92" w:rsidP="00F103A9">
          <w:pPr>
            <w:pStyle w:val="Footer"/>
            <w:jc w:val="right"/>
            <w:rPr>
              <w:sz w:val="20"/>
              <w:szCs w:val="20"/>
            </w:rPr>
          </w:pPr>
          <w:r w:rsidRPr="00F103A9">
            <w:rPr>
              <w:sz w:val="20"/>
              <w:szCs w:val="20"/>
            </w:rPr>
            <w:t xml:space="preserve">Page </w:t>
          </w:r>
          <w:r>
            <w:rPr>
              <w:rStyle w:val="PageNumber"/>
            </w:rPr>
            <w:fldChar w:fldCharType="begin"/>
          </w:r>
          <w:r>
            <w:rPr>
              <w:rStyle w:val="PageNumber"/>
            </w:rPr>
            <w:instrText xml:space="preserve"> PAGE </w:instrText>
          </w:r>
          <w:r>
            <w:rPr>
              <w:rStyle w:val="PageNumber"/>
            </w:rPr>
            <w:fldChar w:fldCharType="separate"/>
          </w:r>
          <w:r w:rsidR="00F9461D">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9461D">
            <w:rPr>
              <w:rStyle w:val="PageNumber"/>
              <w:noProof/>
            </w:rPr>
            <w:t>2</w:t>
          </w:r>
          <w:r>
            <w:rPr>
              <w:rStyle w:val="PageNumber"/>
            </w:rPr>
            <w:fldChar w:fldCharType="end"/>
          </w:r>
        </w:p>
      </w:tc>
    </w:tr>
  </w:tbl>
  <w:p w14:paraId="6D8B1E18" w14:textId="77777777" w:rsidR="001D4C92" w:rsidRDefault="001D4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D0114" w14:textId="77777777" w:rsidR="00F7571B" w:rsidRDefault="00F7571B">
      <w:r>
        <w:separator/>
      </w:r>
    </w:p>
  </w:footnote>
  <w:footnote w:type="continuationSeparator" w:id="0">
    <w:p w14:paraId="31AD417D" w14:textId="77777777" w:rsidR="00F7571B" w:rsidRDefault="00F75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787"/>
      <w:gridCol w:w="3092"/>
    </w:tblGrid>
    <w:tr w:rsidR="001D4C92" w14:paraId="52B8F41C" w14:textId="77777777" w:rsidTr="001D1F1A">
      <w:trPr>
        <w:trHeight w:val="841"/>
      </w:trPr>
      <w:tc>
        <w:tcPr>
          <w:tcW w:w="1656" w:type="dxa"/>
          <w:shd w:val="clear" w:color="auto" w:fill="auto"/>
        </w:tcPr>
        <w:p w14:paraId="429BCB3D" w14:textId="77777777" w:rsidR="001D4C92" w:rsidRPr="00864306" w:rsidRDefault="00F63BFE">
          <w:pPr>
            <w:pStyle w:val="Header"/>
          </w:pPr>
          <w:r>
            <w:rPr>
              <w:noProof/>
              <w:lang w:val="en-US" w:eastAsia="en-US"/>
            </w:rPr>
            <w:drawing>
              <wp:anchor distT="0" distB="0" distL="0" distR="0" simplePos="0" relativeHeight="251659264" behindDoc="0" locked="0" layoutInCell="1" allowOverlap="0" wp14:anchorId="3191D0C0" wp14:editId="420228D9">
                <wp:simplePos x="0" y="0"/>
                <wp:positionH relativeFrom="margin">
                  <wp:posOffset>-6350</wp:posOffset>
                </wp:positionH>
                <wp:positionV relativeFrom="paragraph">
                  <wp:posOffset>130175</wp:posOffset>
                </wp:positionV>
                <wp:extent cx="914400" cy="685800"/>
                <wp:effectExtent l="0" t="0" r="0" b="0"/>
                <wp:wrapSquare wrapText="bothSides"/>
                <wp:docPr id="3" name="Picture 3" descr="ICA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AN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685800"/>
                        </a:xfrm>
                        <a:prstGeom prst="rect">
                          <a:avLst/>
                        </a:prstGeom>
                        <a:noFill/>
                      </pic:spPr>
                    </pic:pic>
                  </a:graphicData>
                </a:graphic>
                <wp14:sizeRelH relativeFrom="page">
                  <wp14:pctWidth>0</wp14:pctWidth>
                </wp14:sizeRelH>
                <wp14:sizeRelV relativeFrom="page">
                  <wp14:pctHeight>0</wp14:pctHeight>
                </wp14:sizeRelV>
              </wp:anchor>
            </w:drawing>
          </w:r>
        </w:p>
      </w:tc>
      <w:tc>
        <w:tcPr>
          <w:tcW w:w="4787" w:type="dxa"/>
          <w:shd w:val="clear" w:color="auto" w:fill="auto"/>
        </w:tcPr>
        <w:p w14:paraId="6DD0C46A" w14:textId="77777777" w:rsidR="008E70FF" w:rsidRPr="00E46002" w:rsidRDefault="008E70FF" w:rsidP="00F103A9">
          <w:pPr>
            <w:pStyle w:val="Header"/>
            <w:jc w:val="center"/>
          </w:pPr>
        </w:p>
        <w:p w14:paraId="527CE520" w14:textId="48474DD0" w:rsidR="00E46002" w:rsidRPr="00E46002" w:rsidRDefault="003C766D" w:rsidP="00E46002">
          <w:pPr>
            <w:jc w:val="center"/>
          </w:pPr>
          <w:r>
            <w:t xml:space="preserve">Adding Raw Data to the </w:t>
          </w:r>
          <w:proofErr w:type="spellStart"/>
          <w:r>
            <w:t>SoGDC</w:t>
          </w:r>
          <w:proofErr w:type="spellEnd"/>
          <w:r>
            <w:t xml:space="preserve"> for Public Use</w:t>
          </w:r>
        </w:p>
        <w:p w14:paraId="1C6ED09F" w14:textId="77777777" w:rsidR="001D4C92" w:rsidRDefault="001D4C92" w:rsidP="00CD1B46">
          <w:pPr>
            <w:pStyle w:val="Header"/>
            <w:jc w:val="center"/>
          </w:pPr>
        </w:p>
      </w:tc>
      <w:tc>
        <w:tcPr>
          <w:tcW w:w="3092" w:type="dxa"/>
          <w:shd w:val="clear" w:color="auto" w:fill="auto"/>
        </w:tcPr>
        <w:p w14:paraId="62462EFD" w14:textId="04ACB0B9" w:rsidR="001D4C92" w:rsidRDefault="001D4C92" w:rsidP="00F103A9">
          <w:pPr>
            <w:pStyle w:val="Header"/>
            <w:spacing w:before="120"/>
            <w:rPr>
              <w:b/>
              <w:sz w:val="20"/>
              <w:szCs w:val="20"/>
            </w:rPr>
          </w:pPr>
          <w:r w:rsidRPr="00F103A9">
            <w:rPr>
              <w:b/>
              <w:sz w:val="20"/>
              <w:szCs w:val="20"/>
            </w:rPr>
            <w:t>Process Number:</w:t>
          </w:r>
        </w:p>
        <w:p w14:paraId="398587D6" w14:textId="59557538" w:rsidR="001D4C92" w:rsidRPr="006624EE" w:rsidRDefault="006624EE" w:rsidP="006624EE">
          <w:pPr>
            <w:pStyle w:val="Header"/>
            <w:spacing w:before="120"/>
            <w:jc w:val="center"/>
            <w:rPr>
              <w:b/>
              <w:sz w:val="20"/>
              <w:szCs w:val="20"/>
            </w:rPr>
          </w:pPr>
          <w:r>
            <w:rPr>
              <w:b/>
              <w:sz w:val="20"/>
              <w:szCs w:val="20"/>
            </w:rPr>
            <w:t>37</w:t>
          </w:r>
          <w:r w:rsidR="003C766D">
            <w:rPr>
              <w:b/>
              <w:sz w:val="20"/>
              <w:szCs w:val="20"/>
            </w:rPr>
            <w:t>0 – F11</w:t>
          </w:r>
        </w:p>
      </w:tc>
    </w:tr>
  </w:tbl>
  <w:p w14:paraId="1C79A812" w14:textId="77777777" w:rsidR="001D4C92" w:rsidRDefault="001D4C92" w:rsidP="00176C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02B"/>
    <w:multiLevelType w:val="hybridMultilevel"/>
    <w:tmpl w:val="698A6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932E0"/>
    <w:multiLevelType w:val="hybridMultilevel"/>
    <w:tmpl w:val="D8C48F34"/>
    <w:lvl w:ilvl="0" w:tplc="8B1AF8A6">
      <w:start w:val="7"/>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2A5432"/>
    <w:multiLevelType w:val="hybridMultilevel"/>
    <w:tmpl w:val="098EDE96"/>
    <w:lvl w:ilvl="0" w:tplc="FB62A3F8">
      <w:start w:val="5"/>
      <w:numFmt w:val="bullet"/>
      <w:lvlText w:val="-"/>
      <w:lvlJc w:val="left"/>
      <w:pPr>
        <w:ind w:left="405" w:hanging="360"/>
      </w:pPr>
      <w:rPr>
        <w:rFonts w:ascii="Calibri" w:eastAsiaTheme="minorEastAsia"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3" w15:restartNumberingAfterBreak="0">
    <w:nsid w:val="0D8C5F72"/>
    <w:multiLevelType w:val="hybridMultilevel"/>
    <w:tmpl w:val="9D64A65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F0A17B6"/>
    <w:multiLevelType w:val="hybridMultilevel"/>
    <w:tmpl w:val="C9D6A5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FB54691"/>
    <w:multiLevelType w:val="hybridMultilevel"/>
    <w:tmpl w:val="063ECFFA"/>
    <w:lvl w:ilvl="0" w:tplc="10090001">
      <w:start w:val="1"/>
      <w:numFmt w:val="bullet"/>
      <w:lvlText w:val=""/>
      <w:lvlJc w:val="left"/>
      <w:pPr>
        <w:ind w:left="360" w:hanging="360"/>
      </w:pPr>
      <w:rPr>
        <w:rFonts w:ascii="Symbol" w:hAnsi="Symbol" w:hint="default"/>
      </w:rPr>
    </w:lvl>
    <w:lvl w:ilvl="1" w:tplc="10090001">
      <w:start w:val="1"/>
      <w:numFmt w:val="bullet"/>
      <w:lvlText w:val=""/>
      <w:lvlJc w:val="left"/>
      <w:pPr>
        <w:ind w:left="1080" w:hanging="360"/>
      </w:pPr>
      <w:rPr>
        <w:rFonts w:ascii="Symbol" w:hAnsi="Symbo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120D2440"/>
    <w:multiLevelType w:val="hybridMultilevel"/>
    <w:tmpl w:val="2BD4C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497B0A"/>
    <w:multiLevelType w:val="hybridMultilevel"/>
    <w:tmpl w:val="CEC4EA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67D78E4"/>
    <w:multiLevelType w:val="hybridMultilevel"/>
    <w:tmpl w:val="F44474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A2374C3"/>
    <w:multiLevelType w:val="hybridMultilevel"/>
    <w:tmpl w:val="5BD0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E1C57E4"/>
    <w:multiLevelType w:val="hybridMultilevel"/>
    <w:tmpl w:val="FE2811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36A5257"/>
    <w:multiLevelType w:val="hybridMultilevel"/>
    <w:tmpl w:val="EBD8714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27F221C8"/>
    <w:multiLevelType w:val="hybridMultilevel"/>
    <w:tmpl w:val="63DA32BE"/>
    <w:lvl w:ilvl="0" w:tplc="10090001">
      <w:start w:val="1"/>
      <w:numFmt w:val="bullet"/>
      <w:lvlText w:val=""/>
      <w:lvlJc w:val="left"/>
      <w:pPr>
        <w:ind w:left="360" w:hanging="360"/>
      </w:pPr>
      <w:rPr>
        <w:rFonts w:ascii="Symbol" w:hAnsi="Symbol" w:hint="default"/>
      </w:rPr>
    </w:lvl>
    <w:lvl w:ilvl="1" w:tplc="1009000F">
      <w:start w:val="1"/>
      <w:numFmt w:val="decimal"/>
      <w:lvlText w:val="%2."/>
      <w:lvlJc w:val="left"/>
      <w:pPr>
        <w:ind w:left="1080" w:hanging="360"/>
      </w:pPr>
      <w:rPr>
        <w:rFonts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2E48341B"/>
    <w:multiLevelType w:val="hybridMultilevel"/>
    <w:tmpl w:val="F6CEF91A"/>
    <w:lvl w:ilvl="0" w:tplc="06B22FB0">
      <w:start w:val="5"/>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1A5564A"/>
    <w:multiLevelType w:val="hybridMultilevel"/>
    <w:tmpl w:val="76B8E4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20B1210"/>
    <w:multiLevelType w:val="hybridMultilevel"/>
    <w:tmpl w:val="29CE408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36EC33D9"/>
    <w:multiLevelType w:val="hybridMultilevel"/>
    <w:tmpl w:val="92346712"/>
    <w:lvl w:ilvl="0" w:tplc="53F0A618">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C6126DD"/>
    <w:multiLevelType w:val="hybridMultilevel"/>
    <w:tmpl w:val="B906A290"/>
    <w:lvl w:ilvl="0" w:tplc="6CD0E62C">
      <w:start w:val="5"/>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F4E6588"/>
    <w:multiLevelType w:val="hybridMultilevel"/>
    <w:tmpl w:val="E1DC5A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11C0BB3"/>
    <w:multiLevelType w:val="hybridMultilevel"/>
    <w:tmpl w:val="8EF4BD1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42FB530B"/>
    <w:multiLevelType w:val="hybridMultilevel"/>
    <w:tmpl w:val="561863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44AD5D95"/>
    <w:multiLevelType w:val="hybridMultilevel"/>
    <w:tmpl w:val="D0EA1EB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451C7AF9"/>
    <w:multiLevelType w:val="hybridMultilevel"/>
    <w:tmpl w:val="50F0955E"/>
    <w:lvl w:ilvl="0" w:tplc="7326D950">
      <w:start w:val="5"/>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98E1D47"/>
    <w:multiLevelType w:val="hybridMultilevel"/>
    <w:tmpl w:val="41C23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9B32C8D"/>
    <w:multiLevelType w:val="hybridMultilevel"/>
    <w:tmpl w:val="00C84D34"/>
    <w:lvl w:ilvl="0" w:tplc="8B1AF8A6">
      <w:start w:val="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F4B36A5"/>
    <w:multiLevelType w:val="hybridMultilevel"/>
    <w:tmpl w:val="3B6041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2815C5B"/>
    <w:multiLevelType w:val="hybridMultilevel"/>
    <w:tmpl w:val="D02835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34139E6"/>
    <w:multiLevelType w:val="hybridMultilevel"/>
    <w:tmpl w:val="9306E4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9694EE6"/>
    <w:multiLevelType w:val="hybridMultilevel"/>
    <w:tmpl w:val="54047452"/>
    <w:lvl w:ilvl="0" w:tplc="140C7DF2">
      <w:start w:val="5"/>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0D92C7F"/>
    <w:multiLevelType w:val="hybridMultilevel"/>
    <w:tmpl w:val="09E018F8"/>
    <w:lvl w:ilvl="0" w:tplc="8B1AF8A6">
      <w:start w:val="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7CF4AD2"/>
    <w:multiLevelType w:val="hybridMultilevel"/>
    <w:tmpl w:val="1E5277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8635B23"/>
    <w:multiLevelType w:val="hybridMultilevel"/>
    <w:tmpl w:val="B47A3770"/>
    <w:lvl w:ilvl="0" w:tplc="8B1AF8A6">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B0F5C27"/>
    <w:multiLevelType w:val="hybridMultilevel"/>
    <w:tmpl w:val="28968552"/>
    <w:lvl w:ilvl="0" w:tplc="8B1AF8A6">
      <w:start w:val="7"/>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74D1614"/>
    <w:multiLevelType w:val="hybridMultilevel"/>
    <w:tmpl w:val="83946DC4"/>
    <w:lvl w:ilvl="0" w:tplc="8B1AF8A6">
      <w:start w:val="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8412F02"/>
    <w:multiLevelType w:val="hybridMultilevel"/>
    <w:tmpl w:val="5818F7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85770EA"/>
    <w:multiLevelType w:val="hybridMultilevel"/>
    <w:tmpl w:val="19F66C76"/>
    <w:lvl w:ilvl="0" w:tplc="10090001">
      <w:start w:val="1"/>
      <w:numFmt w:val="bullet"/>
      <w:lvlText w:val=""/>
      <w:lvlJc w:val="left"/>
      <w:pPr>
        <w:ind w:left="360" w:hanging="360"/>
      </w:pPr>
      <w:rPr>
        <w:rFonts w:ascii="Symbol" w:hAnsi="Symbol" w:hint="default"/>
      </w:rPr>
    </w:lvl>
    <w:lvl w:ilvl="1" w:tplc="1009000F">
      <w:start w:val="1"/>
      <w:numFmt w:val="decimal"/>
      <w:lvlText w:val="%2."/>
      <w:lvlJc w:val="left"/>
      <w:pPr>
        <w:ind w:left="1080" w:hanging="360"/>
      </w:pPr>
      <w:rPr>
        <w:rFonts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15:restartNumberingAfterBreak="0">
    <w:nsid w:val="7B757C2A"/>
    <w:multiLevelType w:val="hybridMultilevel"/>
    <w:tmpl w:val="3386E7B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3"/>
  </w:num>
  <w:num w:numId="2">
    <w:abstractNumId w:val="19"/>
  </w:num>
  <w:num w:numId="3">
    <w:abstractNumId w:val="15"/>
  </w:num>
  <w:num w:numId="4">
    <w:abstractNumId w:val="5"/>
  </w:num>
  <w:num w:numId="5">
    <w:abstractNumId w:val="12"/>
  </w:num>
  <w:num w:numId="6">
    <w:abstractNumId w:val="36"/>
  </w:num>
  <w:num w:numId="7">
    <w:abstractNumId w:val="21"/>
  </w:num>
  <w:num w:numId="8">
    <w:abstractNumId w:val="11"/>
  </w:num>
  <w:num w:numId="9">
    <w:abstractNumId w:val="35"/>
  </w:num>
  <w:num w:numId="10">
    <w:abstractNumId w:val="20"/>
  </w:num>
  <w:num w:numId="11">
    <w:abstractNumId w:val="14"/>
  </w:num>
  <w:num w:numId="12">
    <w:abstractNumId w:val="30"/>
  </w:num>
  <w:num w:numId="13">
    <w:abstractNumId w:val="27"/>
  </w:num>
  <w:num w:numId="14">
    <w:abstractNumId w:val="10"/>
  </w:num>
  <w:num w:numId="15">
    <w:abstractNumId w:val="9"/>
  </w:num>
  <w:num w:numId="16">
    <w:abstractNumId w:val="34"/>
  </w:num>
  <w:num w:numId="17">
    <w:abstractNumId w:val="18"/>
  </w:num>
  <w:num w:numId="18">
    <w:abstractNumId w:val="8"/>
  </w:num>
  <w:num w:numId="19">
    <w:abstractNumId w:val="7"/>
  </w:num>
  <w:num w:numId="20">
    <w:abstractNumId w:val="6"/>
  </w:num>
  <w:num w:numId="21">
    <w:abstractNumId w:val="23"/>
  </w:num>
  <w:num w:numId="22">
    <w:abstractNumId w:val="4"/>
  </w:num>
  <w:num w:numId="23">
    <w:abstractNumId w:val="16"/>
  </w:num>
  <w:num w:numId="24">
    <w:abstractNumId w:val="0"/>
  </w:num>
  <w:num w:numId="25">
    <w:abstractNumId w:val="31"/>
  </w:num>
  <w:num w:numId="26">
    <w:abstractNumId w:val="25"/>
  </w:num>
  <w:num w:numId="27">
    <w:abstractNumId w:val="26"/>
  </w:num>
  <w:num w:numId="28">
    <w:abstractNumId w:val="32"/>
  </w:num>
  <w:num w:numId="29">
    <w:abstractNumId w:val="1"/>
  </w:num>
  <w:num w:numId="30">
    <w:abstractNumId w:val="29"/>
  </w:num>
  <w:num w:numId="31">
    <w:abstractNumId w:val="24"/>
  </w:num>
  <w:num w:numId="32">
    <w:abstractNumId w:val="33"/>
  </w:num>
  <w:num w:numId="33">
    <w:abstractNumId w:val="13"/>
  </w:num>
  <w:num w:numId="34">
    <w:abstractNumId w:val="22"/>
  </w:num>
  <w:num w:numId="35">
    <w:abstractNumId w:val="28"/>
  </w:num>
  <w:num w:numId="36">
    <w:abstractNumId w:val="17"/>
  </w:num>
  <w:num w:numId="37">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306"/>
    <w:rsid w:val="000128E3"/>
    <w:rsid w:val="00015B92"/>
    <w:rsid w:val="00030430"/>
    <w:rsid w:val="00034CEA"/>
    <w:rsid w:val="000435DB"/>
    <w:rsid w:val="0006169B"/>
    <w:rsid w:val="00082133"/>
    <w:rsid w:val="0008650A"/>
    <w:rsid w:val="000904E2"/>
    <w:rsid w:val="000A4A30"/>
    <w:rsid w:val="000B0B0D"/>
    <w:rsid w:val="000B70D1"/>
    <w:rsid w:val="000D79F0"/>
    <w:rsid w:val="000F2795"/>
    <w:rsid w:val="000F514C"/>
    <w:rsid w:val="00110485"/>
    <w:rsid w:val="00116D56"/>
    <w:rsid w:val="00125A5F"/>
    <w:rsid w:val="0012759D"/>
    <w:rsid w:val="001278C8"/>
    <w:rsid w:val="00153BBE"/>
    <w:rsid w:val="00154DBA"/>
    <w:rsid w:val="00157F44"/>
    <w:rsid w:val="001613CC"/>
    <w:rsid w:val="001748D5"/>
    <w:rsid w:val="00176C8A"/>
    <w:rsid w:val="00176FBD"/>
    <w:rsid w:val="001A5D2A"/>
    <w:rsid w:val="001D0D7E"/>
    <w:rsid w:val="001D1F1A"/>
    <w:rsid w:val="001D4C92"/>
    <w:rsid w:val="001D5795"/>
    <w:rsid w:val="001E1564"/>
    <w:rsid w:val="001F1701"/>
    <w:rsid w:val="001F676F"/>
    <w:rsid w:val="0021030A"/>
    <w:rsid w:val="00222DA0"/>
    <w:rsid w:val="002322A1"/>
    <w:rsid w:val="002327C0"/>
    <w:rsid w:val="00233B2C"/>
    <w:rsid w:val="0023718A"/>
    <w:rsid w:val="00245DC3"/>
    <w:rsid w:val="0024787C"/>
    <w:rsid w:val="00262081"/>
    <w:rsid w:val="0026660F"/>
    <w:rsid w:val="00266EF7"/>
    <w:rsid w:val="002743A1"/>
    <w:rsid w:val="00282EE6"/>
    <w:rsid w:val="00284056"/>
    <w:rsid w:val="00292E08"/>
    <w:rsid w:val="002C1274"/>
    <w:rsid w:val="002D2D4B"/>
    <w:rsid w:val="002D4CCB"/>
    <w:rsid w:val="002D6D3E"/>
    <w:rsid w:val="002D7ACB"/>
    <w:rsid w:val="002F0BE9"/>
    <w:rsid w:val="002F726F"/>
    <w:rsid w:val="00306879"/>
    <w:rsid w:val="0034276B"/>
    <w:rsid w:val="00351FBD"/>
    <w:rsid w:val="003544BB"/>
    <w:rsid w:val="00357888"/>
    <w:rsid w:val="003907B3"/>
    <w:rsid w:val="00392D9E"/>
    <w:rsid w:val="003948A6"/>
    <w:rsid w:val="003A7E05"/>
    <w:rsid w:val="003B272C"/>
    <w:rsid w:val="003C041D"/>
    <w:rsid w:val="003C758D"/>
    <w:rsid w:val="003C766D"/>
    <w:rsid w:val="003F6511"/>
    <w:rsid w:val="00402442"/>
    <w:rsid w:val="00404B3A"/>
    <w:rsid w:val="00407568"/>
    <w:rsid w:val="00417FAD"/>
    <w:rsid w:val="004275A9"/>
    <w:rsid w:val="004310D1"/>
    <w:rsid w:val="00445DAA"/>
    <w:rsid w:val="00446FE1"/>
    <w:rsid w:val="00447016"/>
    <w:rsid w:val="00455FE8"/>
    <w:rsid w:val="004772A0"/>
    <w:rsid w:val="0048227F"/>
    <w:rsid w:val="004A610A"/>
    <w:rsid w:val="004A7F66"/>
    <w:rsid w:val="004B5353"/>
    <w:rsid w:val="004C1B70"/>
    <w:rsid w:val="004E3D76"/>
    <w:rsid w:val="00510C05"/>
    <w:rsid w:val="0051175A"/>
    <w:rsid w:val="00514CC2"/>
    <w:rsid w:val="00520165"/>
    <w:rsid w:val="0052150D"/>
    <w:rsid w:val="00536205"/>
    <w:rsid w:val="00580131"/>
    <w:rsid w:val="00587876"/>
    <w:rsid w:val="005B480C"/>
    <w:rsid w:val="005B4887"/>
    <w:rsid w:val="005B7D7A"/>
    <w:rsid w:val="005D1884"/>
    <w:rsid w:val="005D2976"/>
    <w:rsid w:val="005D4E6A"/>
    <w:rsid w:val="005F5F6F"/>
    <w:rsid w:val="005F7F09"/>
    <w:rsid w:val="00606594"/>
    <w:rsid w:val="006150CD"/>
    <w:rsid w:val="00616475"/>
    <w:rsid w:val="00623BA1"/>
    <w:rsid w:val="00630764"/>
    <w:rsid w:val="00637401"/>
    <w:rsid w:val="00646EA0"/>
    <w:rsid w:val="006513B6"/>
    <w:rsid w:val="00657810"/>
    <w:rsid w:val="006624EE"/>
    <w:rsid w:val="00663297"/>
    <w:rsid w:val="00663891"/>
    <w:rsid w:val="00685F91"/>
    <w:rsid w:val="006939E2"/>
    <w:rsid w:val="00694FCB"/>
    <w:rsid w:val="0069709C"/>
    <w:rsid w:val="006A467D"/>
    <w:rsid w:val="006B6729"/>
    <w:rsid w:val="006D2D41"/>
    <w:rsid w:val="006D65DB"/>
    <w:rsid w:val="006E53F7"/>
    <w:rsid w:val="006F64D2"/>
    <w:rsid w:val="00702D18"/>
    <w:rsid w:val="0070579D"/>
    <w:rsid w:val="00711163"/>
    <w:rsid w:val="00724017"/>
    <w:rsid w:val="0073298A"/>
    <w:rsid w:val="00735836"/>
    <w:rsid w:val="0074104C"/>
    <w:rsid w:val="0074285B"/>
    <w:rsid w:val="00750DEE"/>
    <w:rsid w:val="00766C8C"/>
    <w:rsid w:val="0077196E"/>
    <w:rsid w:val="007777B9"/>
    <w:rsid w:val="0078280F"/>
    <w:rsid w:val="007B3D27"/>
    <w:rsid w:val="007B4AFD"/>
    <w:rsid w:val="007E4218"/>
    <w:rsid w:val="007F07BE"/>
    <w:rsid w:val="00801D91"/>
    <w:rsid w:val="00817D6A"/>
    <w:rsid w:val="00817FFA"/>
    <w:rsid w:val="00824584"/>
    <w:rsid w:val="008273EB"/>
    <w:rsid w:val="00837ECB"/>
    <w:rsid w:val="00853215"/>
    <w:rsid w:val="00854FB2"/>
    <w:rsid w:val="008608BE"/>
    <w:rsid w:val="00864306"/>
    <w:rsid w:val="00874DF7"/>
    <w:rsid w:val="00880AEE"/>
    <w:rsid w:val="00892F9A"/>
    <w:rsid w:val="008A366E"/>
    <w:rsid w:val="008A4D65"/>
    <w:rsid w:val="008A70E8"/>
    <w:rsid w:val="008D4CE7"/>
    <w:rsid w:val="008E3FB8"/>
    <w:rsid w:val="008E70FF"/>
    <w:rsid w:val="0090797E"/>
    <w:rsid w:val="00912C19"/>
    <w:rsid w:val="00912FBA"/>
    <w:rsid w:val="0091634D"/>
    <w:rsid w:val="009213E4"/>
    <w:rsid w:val="0093072D"/>
    <w:rsid w:val="009450F6"/>
    <w:rsid w:val="00951128"/>
    <w:rsid w:val="00955FB5"/>
    <w:rsid w:val="009768B2"/>
    <w:rsid w:val="00984858"/>
    <w:rsid w:val="009A3E40"/>
    <w:rsid w:val="009C1821"/>
    <w:rsid w:val="009D39EF"/>
    <w:rsid w:val="009D4634"/>
    <w:rsid w:val="009D7E5E"/>
    <w:rsid w:val="00A06EDE"/>
    <w:rsid w:val="00A14294"/>
    <w:rsid w:val="00A20117"/>
    <w:rsid w:val="00A23614"/>
    <w:rsid w:val="00A24A9E"/>
    <w:rsid w:val="00A25F94"/>
    <w:rsid w:val="00A35DFB"/>
    <w:rsid w:val="00A361E9"/>
    <w:rsid w:val="00A41F2F"/>
    <w:rsid w:val="00A55390"/>
    <w:rsid w:val="00A713B9"/>
    <w:rsid w:val="00A81006"/>
    <w:rsid w:val="00A836AE"/>
    <w:rsid w:val="00A9471E"/>
    <w:rsid w:val="00AB3F5D"/>
    <w:rsid w:val="00AB72B5"/>
    <w:rsid w:val="00AD0C3F"/>
    <w:rsid w:val="00AD1F50"/>
    <w:rsid w:val="00AD3A54"/>
    <w:rsid w:val="00AD5CA5"/>
    <w:rsid w:val="00AD604F"/>
    <w:rsid w:val="00AE348E"/>
    <w:rsid w:val="00AE3E31"/>
    <w:rsid w:val="00AE5468"/>
    <w:rsid w:val="00AF00E2"/>
    <w:rsid w:val="00AF081A"/>
    <w:rsid w:val="00B048EA"/>
    <w:rsid w:val="00B2457D"/>
    <w:rsid w:val="00B25E76"/>
    <w:rsid w:val="00B3213A"/>
    <w:rsid w:val="00B3516A"/>
    <w:rsid w:val="00B40E8B"/>
    <w:rsid w:val="00B41510"/>
    <w:rsid w:val="00B63CF1"/>
    <w:rsid w:val="00B735FC"/>
    <w:rsid w:val="00B7468D"/>
    <w:rsid w:val="00B96298"/>
    <w:rsid w:val="00BA14EC"/>
    <w:rsid w:val="00BB0468"/>
    <w:rsid w:val="00BB6CE0"/>
    <w:rsid w:val="00BC6C5E"/>
    <w:rsid w:val="00BD391A"/>
    <w:rsid w:val="00BE249A"/>
    <w:rsid w:val="00BE4606"/>
    <w:rsid w:val="00BF34A9"/>
    <w:rsid w:val="00BF7909"/>
    <w:rsid w:val="00C062B8"/>
    <w:rsid w:val="00C079CE"/>
    <w:rsid w:val="00C07B41"/>
    <w:rsid w:val="00C11728"/>
    <w:rsid w:val="00C23C31"/>
    <w:rsid w:val="00C23C53"/>
    <w:rsid w:val="00C3036E"/>
    <w:rsid w:val="00C5051C"/>
    <w:rsid w:val="00C60D28"/>
    <w:rsid w:val="00C6122A"/>
    <w:rsid w:val="00C636AB"/>
    <w:rsid w:val="00C65B26"/>
    <w:rsid w:val="00C72468"/>
    <w:rsid w:val="00C85F87"/>
    <w:rsid w:val="00C875F9"/>
    <w:rsid w:val="00CA4EFC"/>
    <w:rsid w:val="00CB5205"/>
    <w:rsid w:val="00CB5804"/>
    <w:rsid w:val="00CC108C"/>
    <w:rsid w:val="00CD1B46"/>
    <w:rsid w:val="00CE041F"/>
    <w:rsid w:val="00CE0FD5"/>
    <w:rsid w:val="00CF0646"/>
    <w:rsid w:val="00D130C7"/>
    <w:rsid w:val="00D134FC"/>
    <w:rsid w:val="00D1528E"/>
    <w:rsid w:val="00D1623F"/>
    <w:rsid w:val="00D43F94"/>
    <w:rsid w:val="00D55320"/>
    <w:rsid w:val="00D6374B"/>
    <w:rsid w:val="00D724D2"/>
    <w:rsid w:val="00D76367"/>
    <w:rsid w:val="00D76FAE"/>
    <w:rsid w:val="00D80BD6"/>
    <w:rsid w:val="00DC66BB"/>
    <w:rsid w:val="00DD1745"/>
    <w:rsid w:val="00DD5993"/>
    <w:rsid w:val="00DE39C7"/>
    <w:rsid w:val="00DF2042"/>
    <w:rsid w:val="00E059D3"/>
    <w:rsid w:val="00E30EB8"/>
    <w:rsid w:val="00E350F9"/>
    <w:rsid w:val="00E402DB"/>
    <w:rsid w:val="00E46002"/>
    <w:rsid w:val="00E5286D"/>
    <w:rsid w:val="00E675CA"/>
    <w:rsid w:val="00E712FD"/>
    <w:rsid w:val="00E74D0F"/>
    <w:rsid w:val="00E97BB3"/>
    <w:rsid w:val="00EB6BD9"/>
    <w:rsid w:val="00ED26D2"/>
    <w:rsid w:val="00EE36A2"/>
    <w:rsid w:val="00EF3D86"/>
    <w:rsid w:val="00F029BC"/>
    <w:rsid w:val="00F103A9"/>
    <w:rsid w:val="00F449A2"/>
    <w:rsid w:val="00F540EA"/>
    <w:rsid w:val="00F63BFE"/>
    <w:rsid w:val="00F7571B"/>
    <w:rsid w:val="00F91F41"/>
    <w:rsid w:val="00F9461D"/>
    <w:rsid w:val="00F96654"/>
    <w:rsid w:val="00FC323E"/>
    <w:rsid w:val="00FE15CD"/>
    <w:rsid w:val="00FF28DF"/>
    <w:rsid w:val="00FF29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BE1270"/>
  <w15:chartTrackingRefBased/>
  <w15:docId w15:val="{EFE30FFC-B4AA-40C5-A3BE-E224E943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2"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HTML Preformatted" w:uiPriority="99"/>
    <w:lsdException w:name="HTML Typewriter" w:semiHidden="1" w:uiPriority="99"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01D91"/>
  </w:style>
  <w:style w:type="paragraph" w:styleId="Heading1">
    <w:name w:val="heading 1"/>
    <w:basedOn w:val="Normal"/>
    <w:next w:val="Normal"/>
    <w:link w:val="Heading1Char"/>
    <w:uiPriority w:val="9"/>
    <w:qFormat/>
    <w:rsid w:val="00801D91"/>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801D91"/>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801D91"/>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801D91"/>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01D91"/>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01D91"/>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01D91"/>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01D91"/>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01D91"/>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64306"/>
    <w:pPr>
      <w:tabs>
        <w:tab w:val="center" w:pos="4320"/>
        <w:tab w:val="right" w:pos="8640"/>
      </w:tabs>
    </w:pPr>
  </w:style>
  <w:style w:type="paragraph" w:styleId="Footer">
    <w:name w:val="footer"/>
    <w:basedOn w:val="Normal"/>
    <w:rsid w:val="00864306"/>
    <w:pPr>
      <w:tabs>
        <w:tab w:val="center" w:pos="4320"/>
        <w:tab w:val="right" w:pos="8640"/>
      </w:tabs>
    </w:pPr>
  </w:style>
  <w:style w:type="table" w:styleId="TableGrid">
    <w:name w:val="Table Grid"/>
    <w:basedOn w:val="TableNormal"/>
    <w:rsid w:val="00864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64306"/>
  </w:style>
  <w:style w:type="character" w:styleId="Hyperlink">
    <w:name w:val="Hyperlink"/>
    <w:rsid w:val="00E30EB8"/>
    <w:rPr>
      <w:color w:val="0000FF"/>
      <w:u w:val="single"/>
    </w:rPr>
  </w:style>
  <w:style w:type="paragraph" w:styleId="BalloonText">
    <w:name w:val="Balloon Text"/>
    <w:basedOn w:val="Normal"/>
    <w:semiHidden/>
    <w:rsid w:val="003A7E05"/>
    <w:rPr>
      <w:rFonts w:ascii="Tahoma" w:hAnsi="Tahoma" w:cs="Tahoma"/>
      <w:sz w:val="16"/>
      <w:szCs w:val="16"/>
    </w:rPr>
  </w:style>
  <w:style w:type="character" w:styleId="HTMLCite">
    <w:name w:val="HTML Cite"/>
    <w:rsid w:val="0048227F"/>
    <w:rPr>
      <w:i/>
      <w:iCs/>
    </w:rPr>
  </w:style>
  <w:style w:type="character" w:styleId="FollowedHyperlink">
    <w:name w:val="FollowedHyperlink"/>
    <w:rsid w:val="000B70D1"/>
    <w:rPr>
      <w:color w:val="800080"/>
      <w:u w:val="single"/>
    </w:rPr>
  </w:style>
  <w:style w:type="paragraph" w:styleId="ListParagraph">
    <w:name w:val="List Paragraph"/>
    <w:basedOn w:val="Normal"/>
    <w:uiPriority w:val="34"/>
    <w:qFormat/>
    <w:rsid w:val="00951128"/>
    <w:pPr>
      <w:ind w:left="720"/>
      <w:contextualSpacing/>
    </w:pPr>
  </w:style>
  <w:style w:type="character" w:customStyle="1" w:styleId="HeaderChar">
    <w:name w:val="Header Char"/>
    <w:basedOn w:val="DefaultParagraphFont"/>
    <w:link w:val="Header"/>
    <w:rsid w:val="00F63BFE"/>
    <w:rPr>
      <w:rFonts w:ascii="Arial" w:hAnsi="Arial" w:cs="Arial"/>
      <w:sz w:val="24"/>
      <w:szCs w:val="24"/>
      <w:lang w:val="en-US" w:eastAsia="en-US"/>
    </w:rPr>
  </w:style>
  <w:style w:type="paragraph" w:styleId="HTMLPreformatted">
    <w:name w:val="HTML Preformatted"/>
    <w:basedOn w:val="Normal"/>
    <w:link w:val="HTMLPreformattedChar"/>
    <w:uiPriority w:val="99"/>
    <w:unhideWhenUsed/>
    <w:rsid w:val="00C23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23C53"/>
    <w:rPr>
      <w:rFonts w:ascii="Courier New" w:hAnsi="Courier New" w:cs="Courier New"/>
    </w:rPr>
  </w:style>
  <w:style w:type="character" w:customStyle="1" w:styleId="Heading1Char">
    <w:name w:val="Heading 1 Char"/>
    <w:basedOn w:val="DefaultParagraphFont"/>
    <w:link w:val="Heading1"/>
    <w:uiPriority w:val="9"/>
    <w:rsid w:val="00801D91"/>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801D91"/>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801D91"/>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801D91"/>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01D91"/>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01D9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01D91"/>
    <w:rPr>
      <w:i/>
      <w:iCs/>
    </w:rPr>
  </w:style>
  <w:style w:type="character" w:customStyle="1" w:styleId="Heading8Char">
    <w:name w:val="Heading 8 Char"/>
    <w:basedOn w:val="DefaultParagraphFont"/>
    <w:link w:val="Heading8"/>
    <w:uiPriority w:val="9"/>
    <w:semiHidden/>
    <w:rsid w:val="00801D91"/>
    <w:rPr>
      <w:b/>
      <w:bCs/>
    </w:rPr>
  </w:style>
  <w:style w:type="character" w:customStyle="1" w:styleId="Heading9Char">
    <w:name w:val="Heading 9 Char"/>
    <w:basedOn w:val="DefaultParagraphFont"/>
    <w:link w:val="Heading9"/>
    <w:uiPriority w:val="9"/>
    <w:semiHidden/>
    <w:rsid w:val="00801D91"/>
    <w:rPr>
      <w:i/>
      <w:iCs/>
    </w:rPr>
  </w:style>
  <w:style w:type="paragraph" w:styleId="Caption">
    <w:name w:val="caption"/>
    <w:basedOn w:val="Normal"/>
    <w:next w:val="Normal"/>
    <w:uiPriority w:val="35"/>
    <w:semiHidden/>
    <w:unhideWhenUsed/>
    <w:qFormat/>
    <w:rsid w:val="00801D91"/>
    <w:rPr>
      <w:b/>
      <w:bCs/>
      <w:sz w:val="18"/>
      <w:szCs w:val="18"/>
    </w:rPr>
  </w:style>
  <w:style w:type="paragraph" w:styleId="Title">
    <w:name w:val="Title"/>
    <w:basedOn w:val="Normal"/>
    <w:next w:val="Normal"/>
    <w:link w:val="TitleChar"/>
    <w:uiPriority w:val="10"/>
    <w:qFormat/>
    <w:rsid w:val="00801D9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01D91"/>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801D91"/>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01D91"/>
    <w:rPr>
      <w:rFonts w:asciiTheme="majorHAnsi" w:eastAsiaTheme="majorEastAsia" w:hAnsiTheme="majorHAnsi" w:cstheme="majorBidi"/>
      <w:sz w:val="24"/>
      <w:szCs w:val="24"/>
    </w:rPr>
  </w:style>
  <w:style w:type="character" w:styleId="Strong">
    <w:name w:val="Strong"/>
    <w:basedOn w:val="DefaultParagraphFont"/>
    <w:uiPriority w:val="22"/>
    <w:qFormat/>
    <w:rsid w:val="00801D91"/>
    <w:rPr>
      <w:b/>
      <w:bCs/>
      <w:color w:val="auto"/>
    </w:rPr>
  </w:style>
  <w:style w:type="character" w:styleId="Emphasis">
    <w:name w:val="Emphasis"/>
    <w:basedOn w:val="DefaultParagraphFont"/>
    <w:uiPriority w:val="20"/>
    <w:qFormat/>
    <w:rsid w:val="00801D91"/>
    <w:rPr>
      <w:i/>
      <w:iCs/>
      <w:color w:val="auto"/>
    </w:rPr>
  </w:style>
  <w:style w:type="paragraph" w:styleId="NoSpacing">
    <w:name w:val="No Spacing"/>
    <w:uiPriority w:val="1"/>
    <w:qFormat/>
    <w:rsid w:val="00801D91"/>
    <w:pPr>
      <w:spacing w:after="0" w:line="240" w:lineRule="auto"/>
    </w:pPr>
  </w:style>
  <w:style w:type="paragraph" w:styleId="Quote">
    <w:name w:val="Quote"/>
    <w:basedOn w:val="Normal"/>
    <w:next w:val="Normal"/>
    <w:link w:val="QuoteChar"/>
    <w:uiPriority w:val="29"/>
    <w:qFormat/>
    <w:rsid w:val="00801D9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01D91"/>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01D9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01D91"/>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01D91"/>
    <w:rPr>
      <w:i/>
      <w:iCs/>
      <w:color w:val="auto"/>
    </w:rPr>
  </w:style>
  <w:style w:type="character" w:styleId="IntenseEmphasis">
    <w:name w:val="Intense Emphasis"/>
    <w:basedOn w:val="DefaultParagraphFont"/>
    <w:uiPriority w:val="21"/>
    <w:qFormat/>
    <w:rsid w:val="00801D91"/>
    <w:rPr>
      <w:b/>
      <w:bCs/>
      <w:i/>
      <w:iCs/>
      <w:color w:val="auto"/>
    </w:rPr>
  </w:style>
  <w:style w:type="character" w:styleId="SubtleReference">
    <w:name w:val="Subtle Reference"/>
    <w:basedOn w:val="DefaultParagraphFont"/>
    <w:uiPriority w:val="31"/>
    <w:qFormat/>
    <w:rsid w:val="00801D91"/>
    <w:rPr>
      <w:smallCaps/>
      <w:color w:val="auto"/>
      <w:u w:val="single" w:color="7F7F7F" w:themeColor="text1" w:themeTint="80"/>
    </w:rPr>
  </w:style>
  <w:style w:type="character" w:styleId="IntenseReference">
    <w:name w:val="Intense Reference"/>
    <w:basedOn w:val="DefaultParagraphFont"/>
    <w:uiPriority w:val="32"/>
    <w:qFormat/>
    <w:rsid w:val="00801D91"/>
    <w:rPr>
      <w:b/>
      <w:bCs/>
      <w:smallCaps/>
      <w:color w:val="auto"/>
      <w:u w:val="single"/>
    </w:rPr>
  </w:style>
  <w:style w:type="character" w:styleId="BookTitle">
    <w:name w:val="Book Title"/>
    <w:basedOn w:val="DefaultParagraphFont"/>
    <w:uiPriority w:val="33"/>
    <w:qFormat/>
    <w:rsid w:val="00801D91"/>
    <w:rPr>
      <w:b/>
      <w:bCs/>
      <w:smallCaps/>
      <w:color w:val="auto"/>
    </w:rPr>
  </w:style>
  <w:style w:type="paragraph" w:styleId="TOCHeading">
    <w:name w:val="TOC Heading"/>
    <w:basedOn w:val="Heading1"/>
    <w:next w:val="Normal"/>
    <w:uiPriority w:val="39"/>
    <w:semiHidden/>
    <w:unhideWhenUsed/>
    <w:qFormat/>
    <w:rsid w:val="00801D91"/>
    <w:pPr>
      <w:outlineLvl w:val="9"/>
    </w:pPr>
  </w:style>
  <w:style w:type="character" w:styleId="HTMLTypewriter">
    <w:name w:val="HTML Typewriter"/>
    <w:basedOn w:val="DefaultParagraphFont"/>
    <w:uiPriority w:val="99"/>
    <w:unhideWhenUsed/>
    <w:rsid w:val="00685F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21896">
      <w:bodyDiv w:val="1"/>
      <w:marLeft w:val="0"/>
      <w:marRight w:val="0"/>
      <w:marTop w:val="0"/>
      <w:marBottom w:val="0"/>
      <w:divBdr>
        <w:top w:val="none" w:sz="0" w:space="0" w:color="auto"/>
        <w:left w:val="none" w:sz="0" w:space="0" w:color="auto"/>
        <w:bottom w:val="none" w:sz="0" w:space="0" w:color="auto"/>
        <w:right w:val="none" w:sz="0" w:space="0" w:color="auto"/>
      </w:divBdr>
    </w:div>
    <w:div w:id="161896173">
      <w:bodyDiv w:val="1"/>
      <w:marLeft w:val="0"/>
      <w:marRight w:val="0"/>
      <w:marTop w:val="0"/>
      <w:marBottom w:val="0"/>
      <w:divBdr>
        <w:top w:val="none" w:sz="0" w:space="0" w:color="auto"/>
        <w:left w:val="none" w:sz="0" w:space="0" w:color="auto"/>
        <w:bottom w:val="none" w:sz="0" w:space="0" w:color="auto"/>
        <w:right w:val="none" w:sz="0" w:space="0" w:color="auto"/>
      </w:divBdr>
    </w:div>
    <w:div w:id="585459641">
      <w:bodyDiv w:val="1"/>
      <w:marLeft w:val="0"/>
      <w:marRight w:val="0"/>
      <w:marTop w:val="0"/>
      <w:marBottom w:val="0"/>
      <w:divBdr>
        <w:top w:val="none" w:sz="0" w:space="0" w:color="auto"/>
        <w:left w:val="none" w:sz="0" w:space="0" w:color="auto"/>
        <w:bottom w:val="none" w:sz="0" w:space="0" w:color="auto"/>
        <w:right w:val="none" w:sz="0" w:space="0" w:color="auto"/>
      </w:divBdr>
    </w:div>
    <w:div w:id="784466642">
      <w:bodyDiv w:val="1"/>
      <w:marLeft w:val="0"/>
      <w:marRight w:val="0"/>
      <w:marTop w:val="0"/>
      <w:marBottom w:val="0"/>
      <w:divBdr>
        <w:top w:val="none" w:sz="0" w:space="0" w:color="auto"/>
        <w:left w:val="none" w:sz="0" w:space="0" w:color="auto"/>
        <w:bottom w:val="none" w:sz="0" w:space="0" w:color="auto"/>
        <w:right w:val="none" w:sz="0" w:space="0" w:color="auto"/>
      </w:divBdr>
    </w:div>
    <w:div w:id="82381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30B32-ADB9-4937-8B83-34711E9BB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Peter</dc:creator>
  <cp:keywords/>
  <dc:description/>
  <cp:lastModifiedBy>Ben Skinner</cp:lastModifiedBy>
  <cp:revision>8</cp:revision>
  <cp:lastPrinted>2018-09-27T17:09:00Z</cp:lastPrinted>
  <dcterms:created xsi:type="dcterms:W3CDTF">2022-10-27T17:36:00Z</dcterms:created>
  <dcterms:modified xsi:type="dcterms:W3CDTF">2022-11-03T18:37:00Z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-254218357</vt:i4>
  </property>
  <property fmtid="{D5CDD505-2E9C-101B-9397-08002B2CF9AE}" pid="3" name="_EmailSubject">
    <vt:lpwstr/>
  </property>
  <property fmtid="{D5CDD505-2E9C-101B-9397-08002B2CF9AE}" pid="4" name="_AuthorEmail">
    <vt:lpwstr>info@sidneymuseum.ca</vt:lpwstr>
  </property>
  <property fmtid="{D5CDD505-2E9C-101B-9397-08002B2CF9AE}" pid="5" name="_AuthorEmailDisplayName">
    <vt:lpwstr>Sidney Museum</vt:lpwstr>
  </property>
  <property fmtid="{D5CDD505-2E9C-101B-9397-08002B2CF9AE}" pid="6" name="_ReviewingToolsShownOnce">
    <vt:lpwstr/>
  </property>
</Properties>
</file>