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EE5A8">
      <w:pPr>
        <w:ind w:left="0" w:leftChars="0" w:firstLine="0" w:firstLineChars="0"/>
        <w:jc w:val="center"/>
        <w:rPr>
          <w:rFonts w:hint="eastAsia" w:ascii="宋体" w:hAnsi="宋体" w:eastAsia="宋体" w:cs="宋体"/>
          <w:b/>
          <w:bCs/>
          <w:sz w:val="48"/>
          <w:szCs w:val="48"/>
          <w:lang w:val="en-US" w:eastAsia="zh-CN"/>
        </w:rPr>
      </w:pPr>
    </w:p>
    <w:p w14:paraId="0E6300B3">
      <w:pPr>
        <w:spacing w:before="156" w:after="156"/>
        <w:ind w:firstLine="964" w:firstLineChars="200"/>
        <w:jc w:val="center"/>
        <w:rPr>
          <w:rFonts w:hint="eastAsia" w:ascii="宋体" w:hAnsi="宋体" w:eastAsia="宋体" w:cs="宋体"/>
          <w:b/>
          <w:sz w:val="48"/>
          <w:szCs w:val="48"/>
          <w:lang w:val="en-US" w:eastAsia="zh-CN"/>
        </w:rPr>
      </w:pPr>
      <w:r>
        <w:rPr>
          <w:rFonts w:hint="eastAsia" w:eastAsia="宋体" w:cs="宋体"/>
          <w:b/>
          <w:sz w:val="48"/>
          <w:szCs w:val="48"/>
          <w:lang w:val="en-US" w:eastAsia="zh-CN"/>
        </w:rPr>
        <w:t>技术交底书</w:t>
      </w:r>
    </w:p>
    <w:p w14:paraId="78147055">
      <w:pPr>
        <w:keepNext w:val="0"/>
        <w:keepLines w:val="0"/>
        <w:pageBreakBefore w:val="0"/>
        <w:widowControl w:val="0"/>
        <w:shd w:val="clear" w:color="auto" w:fill="auto"/>
        <w:kinsoku/>
        <w:wordWrap/>
        <w:overflowPunct/>
        <w:topLinePunct w:val="0"/>
        <w:autoSpaceDE/>
        <w:autoSpaceDN/>
        <w:bidi w:val="0"/>
        <w:spacing w:line="240" w:lineRule="atLeast"/>
        <w:ind w:firstLine="0" w:firstLineChars="0"/>
        <w:jc w:val="left"/>
        <w:rPr>
          <w:rFonts w:hint="eastAsia" w:ascii="宋体" w:hAnsi="宋体" w:eastAsia="宋体" w:cs="宋体"/>
          <w:b/>
          <w:sz w:val="48"/>
          <w:szCs w:val="48"/>
          <w:lang w:eastAsia="zh-CN"/>
        </w:rPr>
      </w:pPr>
      <w:r>
        <w:rPr>
          <w:rFonts w:hint="eastAsia" w:eastAsia="宋体" w:cs="宋体"/>
          <w:b/>
          <w:bCs/>
          <w:sz w:val="28"/>
          <w:szCs w:val="28"/>
          <w:lang w:eastAsia="zh-CN"/>
        </w:rPr>
        <w:t>一、提案信息</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28" w:type="dxa"/>
          <w:bottom w:w="0" w:type="dxa"/>
          <w:right w:w="28" w:type="dxa"/>
        </w:tblCellMar>
      </w:tblPr>
      <w:tblGrid>
        <w:gridCol w:w="1603"/>
        <w:gridCol w:w="1151"/>
        <w:gridCol w:w="2625"/>
        <w:gridCol w:w="1227"/>
        <w:gridCol w:w="2546"/>
      </w:tblGrid>
      <w:tr w14:paraId="1A462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65" w:hRule="atLeast"/>
          <w:jc w:val="center"/>
        </w:trPr>
        <w:tc>
          <w:tcPr>
            <w:tcW w:w="1603" w:type="dxa"/>
            <w:vAlign w:val="center"/>
          </w:tcPr>
          <w:p w14:paraId="183AFE32">
            <w:pPr>
              <w:spacing w:line="400" w:lineRule="atLeast"/>
              <w:jc w:val="center"/>
              <w:rPr>
                <w:rFonts w:hint="eastAsia" w:ascii="宋体" w:hAnsi="宋体" w:eastAsia="宋体" w:cs="宋体"/>
                <w:b w:val="0"/>
                <w:bCs/>
                <w:kern w:val="2"/>
                <w:sz w:val="21"/>
                <w:szCs w:val="21"/>
                <w:lang w:val="en-US" w:eastAsia="zh-CN" w:bidi="ar-SA"/>
              </w:rPr>
            </w:pPr>
            <w:r>
              <w:rPr>
                <w:rFonts w:hint="eastAsia" w:eastAsia="宋体" w:cs="宋体"/>
                <w:b w:val="0"/>
                <w:bCs/>
                <w:position w:val="10"/>
                <w:sz w:val="21"/>
                <w:szCs w:val="21"/>
                <w:lang w:eastAsia="zh-CN"/>
              </w:rPr>
              <w:t>提案</w:t>
            </w:r>
            <w:r>
              <w:rPr>
                <w:rFonts w:hint="eastAsia" w:ascii="宋体" w:hAnsi="宋体" w:eastAsia="宋体" w:cs="宋体"/>
                <w:b w:val="0"/>
                <w:bCs/>
                <w:position w:val="10"/>
                <w:sz w:val="21"/>
                <w:szCs w:val="21"/>
              </w:rPr>
              <w:t>名称</w:t>
            </w:r>
          </w:p>
        </w:tc>
        <w:tc>
          <w:tcPr>
            <w:tcW w:w="7549" w:type="dxa"/>
            <w:gridSpan w:val="4"/>
            <w:vAlign w:val="center"/>
          </w:tcPr>
          <w:p w14:paraId="5670D56D">
            <w:pPr>
              <w:spacing w:line="300" w:lineRule="exact"/>
              <w:jc w:val="center"/>
              <w:rPr>
                <w:rFonts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一种</w:t>
            </w:r>
            <w:r>
              <w:rPr>
                <w:rFonts w:hint="eastAsia" w:cs="宋体"/>
                <w:b w:val="0"/>
                <w:bCs w:val="0"/>
                <w:sz w:val="21"/>
                <w:szCs w:val="21"/>
                <w:lang w:val="en-US" w:eastAsia="zh-CN"/>
              </w:rPr>
              <w:t>面向算力网</w:t>
            </w:r>
            <w:r>
              <w:rPr>
                <w:rFonts w:hint="eastAsia" w:ascii="宋体" w:hAnsi="宋体" w:eastAsia="宋体" w:cs="宋体"/>
                <w:b w:val="0"/>
                <w:bCs w:val="0"/>
                <w:sz w:val="21"/>
                <w:szCs w:val="21"/>
                <w:lang w:val="en-US" w:eastAsia="zh-CN"/>
              </w:rPr>
              <w:t>的通信高效隐私保护</w:t>
            </w:r>
            <w:r>
              <w:rPr>
                <w:rFonts w:hint="eastAsia" w:cs="宋体"/>
                <w:b w:val="0"/>
                <w:bCs w:val="0"/>
                <w:sz w:val="21"/>
                <w:szCs w:val="21"/>
                <w:lang w:val="en-US" w:eastAsia="zh-CN"/>
              </w:rPr>
              <w:t>协同训练</w:t>
            </w:r>
            <w:r>
              <w:rPr>
                <w:rFonts w:hint="eastAsia" w:ascii="宋体" w:hAnsi="宋体" w:eastAsia="宋体" w:cs="宋体"/>
                <w:b w:val="0"/>
                <w:bCs w:val="0"/>
                <w:sz w:val="21"/>
                <w:szCs w:val="21"/>
                <w:lang w:val="en-US" w:eastAsia="zh-CN"/>
              </w:rPr>
              <w:t>方法</w:t>
            </w:r>
          </w:p>
        </w:tc>
      </w:tr>
      <w:tr w14:paraId="4D09F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65" w:hRule="atLeast"/>
          <w:jc w:val="center"/>
        </w:trPr>
        <w:tc>
          <w:tcPr>
            <w:tcW w:w="1603" w:type="dxa"/>
            <w:vAlign w:val="center"/>
          </w:tcPr>
          <w:p w14:paraId="4FFD9B5A">
            <w:pPr>
              <w:spacing w:line="400" w:lineRule="atLeast"/>
              <w:jc w:val="center"/>
              <w:rPr>
                <w:rFonts w:eastAsia="宋体" w:cs="宋体"/>
                <w:b w:val="0"/>
                <w:bCs/>
                <w:position w:val="10"/>
                <w:sz w:val="21"/>
                <w:szCs w:val="21"/>
                <w:lang w:val="en-US" w:eastAsia="zh-CN"/>
              </w:rPr>
            </w:pPr>
            <w:r>
              <w:rPr>
                <w:rFonts w:hint="eastAsia" w:eastAsia="宋体" w:cs="宋体"/>
                <w:b w:val="0"/>
                <w:bCs/>
                <w:position w:val="10"/>
                <w:sz w:val="21"/>
                <w:szCs w:val="21"/>
                <w:lang w:val="en-US" w:eastAsia="zh-CN"/>
              </w:rPr>
              <w:t>企业名称</w:t>
            </w:r>
          </w:p>
        </w:tc>
        <w:tc>
          <w:tcPr>
            <w:tcW w:w="7549" w:type="dxa"/>
            <w:gridSpan w:val="4"/>
            <w:vAlign w:val="center"/>
          </w:tcPr>
          <w:p w14:paraId="0554E4E2">
            <w:pPr>
              <w:spacing w:line="300" w:lineRule="exact"/>
              <w:jc w:val="center"/>
              <w:rPr>
                <w:rFonts w:eastAsia="宋体" w:cs="宋体"/>
                <w:b w:val="0"/>
                <w:bCs w:val="0"/>
                <w:sz w:val="21"/>
                <w:szCs w:val="21"/>
                <w:lang w:val="en-US" w:eastAsia="zh-CN"/>
              </w:rPr>
            </w:pPr>
            <w:r>
              <w:rPr>
                <w:rFonts w:hint="eastAsia" w:eastAsia="宋体" w:cs="宋体"/>
                <w:b w:val="0"/>
                <w:bCs w:val="0"/>
                <w:sz w:val="21"/>
                <w:szCs w:val="21"/>
                <w:lang w:val="en-US" w:eastAsia="zh-CN"/>
              </w:rPr>
              <w:t>鹏城实验室</w:t>
            </w:r>
          </w:p>
        </w:tc>
      </w:tr>
      <w:tr w14:paraId="0BDEE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54" w:hRule="atLeast"/>
          <w:jc w:val="center"/>
        </w:trPr>
        <w:tc>
          <w:tcPr>
            <w:tcW w:w="1603" w:type="dxa"/>
            <w:vMerge w:val="restart"/>
            <w:vAlign w:val="center"/>
          </w:tcPr>
          <w:p w14:paraId="25A8FF81">
            <w:pPr>
              <w:spacing w:line="400" w:lineRule="atLeast"/>
              <w:jc w:val="center"/>
              <w:rPr>
                <w:rFonts w:hint="eastAsia" w:ascii="宋体" w:hAnsi="宋体" w:eastAsia="宋体" w:cs="宋体"/>
                <w:b w:val="0"/>
                <w:bCs/>
                <w:kern w:val="2"/>
                <w:sz w:val="21"/>
                <w:szCs w:val="21"/>
                <w:lang w:val="en-US" w:eastAsia="zh-CN" w:bidi="ar-SA"/>
              </w:rPr>
            </w:pPr>
            <w:r>
              <w:rPr>
                <w:rFonts w:hint="eastAsia" w:ascii="宋体" w:hAnsi="宋体" w:eastAsia="宋体" w:cs="宋体"/>
                <w:b w:val="0"/>
                <w:bCs/>
                <w:position w:val="10"/>
                <w:sz w:val="21"/>
                <w:szCs w:val="21"/>
              </w:rPr>
              <w:t>技术联系人</w:t>
            </w:r>
          </w:p>
        </w:tc>
        <w:tc>
          <w:tcPr>
            <w:tcW w:w="1151" w:type="dxa"/>
            <w:vAlign w:val="center"/>
          </w:tcPr>
          <w:p w14:paraId="6F21F43C">
            <w:pPr>
              <w:spacing w:line="400" w:lineRule="atLeast"/>
              <w:jc w:val="center"/>
              <w:rPr>
                <w:rFonts w:ascii="宋体" w:hAnsi="宋体" w:eastAsia="宋体" w:cs="宋体"/>
                <w:b w:val="0"/>
                <w:bCs/>
                <w:kern w:val="2"/>
                <w:sz w:val="21"/>
                <w:szCs w:val="21"/>
                <w:lang w:val="en-US" w:eastAsia="zh-CN" w:bidi="ar-SA"/>
              </w:rPr>
            </w:pPr>
            <w:r>
              <w:rPr>
                <w:rFonts w:hint="eastAsia" w:eastAsia="宋体" w:cs="宋体"/>
                <w:b w:val="0"/>
                <w:bCs/>
                <w:position w:val="10"/>
                <w:sz w:val="21"/>
                <w:szCs w:val="21"/>
                <w:lang w:val="en-US" w:eastAsia="zh-CN"/>
              </w:rPr>
              <w:t>姓名</w:t>
            </w:r>
          </w:p>
        </w:tc>
        <w:tc>
          <w:tcPr>
            <w:tcW w:w="2625" w:type="dxa"/>
            <w:vAlign w:val="center"/>
          </w:tcPr>
          <w:p w14:paraId="284F8BB1">
            <w:pPr>
              <w:spacing w:line="400" w:lineRule="atLeast"/>
              <w:jc w:val="center"/>
              <w:rPr>
                <w:rFonts w:ascii="宋体" w:hAnsi="宋体" w:eastAsia="宋体" w:cs="宋体"/>
                <w:b w:val="0"/>
                <w:bCs/>
                <w:kern w:val="2"/>
                <w:sz w:val="21"/>
                <w:szCs w:val="21"/>
                <w:lang w:val="en-US" w:eastAsia="zh-CN" w:bidi="ar-SA"/>
              </w:rPr>
            </w:pPr>
            <w:r>
              <w:rPr>
                <w:rFonts w:hint="eastAsia" w:cs="宋体"/>
                <w:b w:val="0"/>
                <w:bCs w:val="0"/>
                <w:sz w:val="21"/>
                <w:szCs w:val="21"/>
                <w:lang w:val="en-US" w:eastAsia="zh-CN"/>
              </w:rPr>
              <w:t>吴佳慧</w:t>
            </w:r>
          </w:p>
        </w:tc>
        <w:tc>
          <w:tcPr>
            <w:tcW w:w="1227" w:type="dxa"/>
            <w:vAlign w:val="center"/>
          </w:tcPr>
          <w:p w14:paraId="19E7F98B">
            <w:pPr>
              <w:spacing w:line="400" w:lineRule="atLeast"/>
              <w:jc w:val="center"/>
              <w:rPr>
                <w:rFonts w:hint="eastAsia" w:ascii="宋体" w:hAnsi="宋体" w:eastAsia="宋体" w:cs="宋体"/>
                <w:b w:val="0"/>
                <w:bCs/>
                <w:kern w:val="2"/>
                <w:sz w:val="21"/>
                <w:szCs w:val="21"/>
                <w:lang w:val="en-US" w:eastAsia="zh-CN" w:bidi="ar-SA"/>
              </w:rPr>
            </w:pPr>
            <w:r>
              <w:rPr>
                <w:rFonts w:hint="eastAsia" w:ascii="宋体" w:hAnsi="宋体" w:eastAsia="宋体" w:cs="宋体"/>
                <w:b w:val="0"/>
                <w:bCs/>
                <w:position w:val="10"/>
                <w:sz w:val="21"/>
                <w:szCs w:val="21"/>
              </w:rPr>
              <w:t>邮箱</w:t>
            </w:r>
          </w:p>
        </w:tc>
        <w:tc>
          <w:tcPr>
            <w:tcW w:w="2546" w:type="dxa"/>
            <w:vAlign w:val="center"/>
          </w:tcPr>
          <w:p w14:paraId="1AD8E427">
            <w:pPr>
              <w:spacing w:line="400" w:lineRule="atLeast"/>
              <w:jc w:val="center"/>
              <w:rPr>
                <w:rFonts w:hint="default" w:ascii="宋体" w:hAnsi="宋体" w:eastAsia="宋体" w:cs="宋体"/>
                <w:b w:val="0"/>
                <w:bCs/>
                <w:kern w:val="2"/>
                <w:sz w:val="21"/>
                <w:szCs w:val="21"/>
                <w:lang w:val="en-US" w:eastAsia="zh-CN" w:bidi="ar-SA"/>
              </w:rPr>
            </w:pPr>
            <w:r>
              <w:rPr>
                <w:rFonts w:hint="eastAsia" w:cs="宋体"/>
                <w:b w:val="0"/>
                <w:bCs w:val="0"/>
                <w:sz w:val="21"/>
                <w:szCs w:val="21"/>
                <w:lang w:val="en-US" w:eastAsia="zh-CN"/>
              </w:rPr>
              <w:t>wujh01@pcl.ac.cn</w:t>
            </w:r>
          </w:p>
        </w:tc>
      </w:tr>
      <w:tr w14:paraId="356A5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54" w:hRule="atLeast"/>
          <w:jc w:val="center"/>
        </w:trPr>
        <w:tc>
          <w:tcPr>
            <w:tcW w:w="1603" w:type="dxa"/>
            <w:vMerge w:val="continue"/>
            <w:vAlign w:val="center"/>
          </w:tcPr>
          <w:p w14:paraId="0A38C6E7">
            <w:pPr>
              <w:spacing w:line="400" w:lineRule="atLeast"/>
              <w:jc w:val="center"/>
              <w:rPr>
                <w:rFonts w:hint="eastAsia" w:ascii="宋体" w:hAnsi="宋体" w:eastAsia="宋体" w:cs="宋体"/>
                <w:b w:val="0"/>
                <w:bCs/>
                <w:position w:val="10"/>
                <w:sz w:val="21"/>
                <w:szCs w:val="21"/>
              </w:rPr>
            </w:pPr>
          </w:p>
        </w:tc>
        <w:tc>
          <w:tcPr>
            <w:tcW w:w="1151" w:type="dxa"/>
            <w:vAlign w:val="center"/>
          </w:tcPr>
          <w:p w14:paraId="55046DC0">
            <w:pPr>
              <w:spacing w:line="400" w:lineRule="atLeast"/>
              <w:jc w:val="center"/>
              <w:rPr>
                <w:rFonts w:eastAsia="宋体" w:cs="宋体"/>
                <w:b w:val="0"/>
                <w:bCs/>
                <w:position w:val="10"/>
                <w:sz w:val="21"/>
                <w:szCs w:val="21"/>
                <w:lang w:val="en-US" w:eastAsia="zh-CN"/>
              </w:rPr>
            </w:pPr>
            <w:r>
              <w:rPr>
                <w:rFonts w:hint="eastAsia" w:eastAsia="宋体" w:cs="宋体"/>
                <w:b w:val="0"/>
                <w:bCs/>
                <w:position w:val="10"/>
                <w:sz w:val="21"/>
                <w:szCs w:val="21"/>
                <w:lang w:val="en-US" w:eastAsia="zh-CN"/>
              </w:rPr>
              <w:t>所在部门</w:t>
            </w:r>
          </w:p>
        </w:tc>
        <w:tc>
          <w:tcPr>
            <w:tcW w:w="2625" w:type="dxa"/>
            <w:vAlign w:val="center"/>
          </w:tcPr>
          <w:p w14:paraId="01845CAF">
            <w:pPr>
              <w:spacing w:line="400" w:lineRule="atLeast"/>
              <w:jc w:val="center"/>
              <w:rPr>
                <w:rFonts w:ascii="宋体" w:hAnsi="宋体" w:eastAsia="宋体" w:cs="宋体"/>
                <w:b w:val="0"/>
                <w:bCs/>
                <w:position w:val="10"/>
                <w:sz w:val="21"/>
                <w:szCs w:val="21"/>
                <w:lang w:val="en-US" w:eastAsia="zh-CN"/>
              </w:rPr>
            </w:pPr>
            <w:r>
              <w:rPr>
                <w:rFonts w:hint="eastAsia" w:eastAsia="宋体" w:cs="宋体"/>
                <w:b w:val="0"/>
                <w:bCs/>
                <w:position w:val="10"/>
                <w:sz w:val="21"/>
                <w:szCs w:val="21"/>
                <w:lang w:val="en-US" w:eastAsia="zh-CN"/>
              </w:rPr>
              <w:t>新型网络研究部</w:t>
            </w:r>
          </w:p>
        </w:tc>
        <w:tc>
          <w:tcPr>
            <w:tcW w:w="1227" w:type="dxa"/>
            <w:vAlign w:val="center"/>
          </w:tcPr>
          <w:p w14:paraId="2A81BA9F">
            <w:pPr>
              <w:spacing w:line="400" w:lineRule="atLeast"/>
              <w:jc w:val="center"/>
              <w:rPr>
                <w:rFonts w:hint="eastAsia" w:ascii="宋体" w:hAnsi="宋体" w:eastAsia="宋体" w:cs="宋体"/>
                <w:b w:val="0"/>
                <w:bCs/>
                <w:kern w:val="2"/>
                <w:sz w:val="21"/>
                <w:szCs w:val="21"/>
                <w:lang w:val="en-US" w:eastAsia="zh-CN" w:bidi="ar-SA"/>
              </w:rPr>
            </w:pPr>
            <w:r>
              <w:rPr>
                <w:rFonts w:hint="eastAsia" w:ascii="宋体" w:hAnsi="宋体" w:eastAsia="宋体" w:cs="宋体"/>
                <w:b w:val="0"/>
                <w:bCs/>
                <w:position w:val="10"/>
                <w:sz w:val="21"/>
                <w:szCs w:val="21"/>
              </w:rPr>
              <w:t>电话</w:t>
            </w:r>
          </w:p>
        </w:tc>
        <w:tc>
          <w:tcPr>
            <w:tcW w:w="2546" w:type="dxa"/>
            <w:vAlign w:val="center"/>
          </w:tcPr>
          <w:p w14:paraId="3364C6D5">
            <w:pPr>
              <w:spacing w:line="400" w:lineRule="atLeast"/>
              <w:jc w:val="center"/>
              <w:rPr>
                <w:rFonts w:hint="default" w:ascii="宋体" w:hAnsi="宋体" w:eastAsia="宋体" w:cs="宋体"/>
                <w:b w:val="0"/>
                <w:bCs/>
                <w:kern w:val="2"/>
                <w:sz w:val="21"/>
                <w:szCs w:val="21"/>
                <w:lang w:val="en-US" w:eastAsia="zh-CN" w:bidi="ar-SA"/>
              </w:rPr>
            </w:pPr>
            <w:r>
              <w:rPr>
                <w:rFonts w:hint="eastAsia" w:cs="宋体"/>
                <w:b w:val="0"/>
                <w:bCs w:val="0"/>
                <w:sz w:val="21"/>
                <w:szCs w:val="21"/>
                <w:lang w:val="en-US" w:eastAsia="zh-CN"/>
              </w:rPr>
              <w:t>13102349319</w:t>
            </w:r>
          </w:p>
        </w:tc>
      </w:tr>
      <w:tr w14:paraId="345F6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54" w:hRule="atLeast"/>
          <w:jc w:val="center"/>
        </w:trPr>
        <w:tc>
          <w:tcPr>
            <w:tcW w:w="1603" w:type="dxa"/>
            <w:vAlign w:val="center"/>
          </w:tcPr>
          <w:p w14:paraId="5579574B">
            <w:pPr>
              <w:spacing w:line="400" w:lineRule="atLeast"/>
              <w:jc w:val="center"/>
              <w:rPr>
                <w:rFonts w:ascii="宋体" w:hAnsi="宋体" w:eastAsia="宋体" w:cs="宋体"/>
                <w:b w:val="0"/>
                <w:bCs/>
                <w:position w:val="10"/>
                <w:sz w:val="21"/>
                <w:szCs w:val="21"/>
                <w:lang w:val="en-US" w:eastAsia="zh-CN"/>
              </w:rPr>
            </w:pPr>
            <w:r>
              <w:rPr>
                <w:rFonts w:hint="eastAsia" w:eastAsia="宋体" w:cs="宋体"/>
                <w:b w:val="0"/>
                <w:bCs/>
                <w:position w:val="10"/>
                <w:sz w:val="21"/>
                <w:szCs w:val="21"/>
                <w:lang w:val="en-US" w:eastAsia="zh-CN"/>
              </w:rPr>
              <w:t>重要级别确认</w:t>
            </w:r>
          </w:p>
        </w:tc>
        <w:tc>
          <w:tcPr>
            <w:tcW w:w="7549" w:type="dxa"/>
            <w:gridSpan w:val="4"/>
            <w:vAlign w:val="center"/>
          </w:tcPr>
          <w:p w14:paraId="552CA5F6">
            <w:pPr>
              <w:spacing w:line="400" w:lineRule="atLeast"/>
              <w:jc w:val="center"/>
              <w:rPr>
                <w:rFonts w:hint="default" w:eastAsia="宋体" w:cs="宋体"/>
                <w:b w:val="0"/>
                <w:bCs w:val="0"/>
                <w:sz w:val="21"/>
                <w:szCs w:val="21"/>
                <w:lang w:val="en-US" w:eastAsia="zh-CN"/>
              </w:rPr>
            </w:pPr>
            <w:r>
              <w:rPr>
                <w:rFonts w:hint="eastAsia" w:cs="宋体"/>
                <w:b w:val="0"/>
                <w:bCs w:val="0"/>
                <w:sz w:val="21"/>
                <w:szCs w:val="21"/>
                <w:lang w:val="en-US" w:eastAsia="zh-CN"/>
              </w:rPr>
              <w:t>核心</w:t>
            </w:r>
          </w:p>
        </w:tc>
      </w:tr>
    </w:tbl>
    <w:p w14:paraId="5C75B2AF">
      <w:pPr>
        <w:keepNext w:val="0"/>
        <w:keepLines w:val="0"/>
        <w:pageBreakBefore w:val="0"/>
        <w:widowControl w:val="0"/>
        <w:shd w:val="clear" w:color="auto" w:fill="auto"/>
        <w:kinsoku/>
        <w:wordWrap/>
        <w:overflowPunct/>
        <w:topLinePunct w:val="0"/>
        <w:autoSpaceDE/>
        <w:autoSpaceDN/>
        <w:bidi w:val="0"/>
        <w:spacing w:line="240" w:lineRule="atLeast"/>
        <w:ind w:firstLine="0" w:firstLineChars="0"/>
        <w:jc w:val="left"/>
        <w:rPr>
          <w:rFonts w:hint="eastAsia" w:ascii="宋体" w:hAnsi="宋体" w:eastAsia="宋体" w:cs="宋体"/>
          <w:b w:val="0"/>
          <w:bCs w:val="0"/>
          <w:sz w:val="21"/>
          <w:szCs w:val="21"/>
          <w:lang w:eastAsia="zh-CN"/>
        </w:rPr>
      </w:pPr>
      <w:r>
        <w:rPr>
          <w:rFonts w:hint="eastAsia" w:eastAsia="宋体" w:cs="宋体"/>
          <w:b/>
          <w:bCs/>
          <w:sz w:val="28"/>
          <w:szCs w:val="28"/>
          <w:lang w:eastAsia="zh-CN"/>
        </w:rPr>
        <w:t>二、方案内容</w:t>
      </w:r>
    </w:p>
    <w:tbl>
      <w:tblPr>
        <w:tblStyle w:val="32"/>
        <w:tblpPr w:leftFromText="180" w:rightFromText="180" w:vertAnchor="text" w:horzAnchor="page" w:tblpX="1463" w:tblpY="82"/>
        <w:tblOverlap w:val="neve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Layout w:type="fixed"/>
        <w:tblCellMar>
          <w:top w:w="0" w:type="dxa"/>
          <w:left w:w="108" w:type="dxa"/>
          <w:bottom w:w="0" w:type="dxa"/>
          <w:right w:w="108" w:type="dxa"/>
        </w:tblCellMar>
      </w:tblPr>
      <w:tblGrid>
        <w:gridCol w:w="427"/>
        <w:gridCol w:w="8760"/>
      </w:tblGrid>
      <w:tr w14:paraId="77B5C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108" w:type="dxa"/>
            <w:bottom w:w="0" w:type="dxa"/>
            <w:right w:w="108" w:type="dxa"/>
          </w:tblCellMar>
        </w:tblPrEx>
        <w:trPr>
          <w:trHeight w:val="3236" w:hRule="atLeast"/>
        </w:trPr>
        <w:tc>
          <w:tcPr>
            <w:tcW w:w="427" w:type="dxa"/>
            <w:vMerge w:val="restart"/>
            <w:shd w:val="clear" w:color="auto" w:fill="D7D7D7"/>
            <w:vAlign w:val="center"/>
          </w:tcPr>
          <w:p w14:paraId="4374A186">
            <w:pPr>
              <w:shd w:val="clear" w:color="auto" w:fill="auto"/>
              <w:spacing w:line="360" w:lineRule="auto"/>
              <w:ind w:firstLine="422" w:firstLineChars="200"/>
              <w:jc w:val="center"/>
              <w:rPr>
                <w:rFonts w:ascii="宋体" w:hAnsi="宋体" w:eastAsia="宋体" w:cs="宋体"/>
                <w:b/>
                <w:bCs/>
                <w:sz w:val="21"/>
                <w:szCs w:val="21"/>
                <w:lang w:val="en-US" w:eastAsia="zh-CN"/>
              </w:rPr>
            </w:pPr>
            <w:r>
              <w:rPr>
                <w:rFonts w:hint="eastAsia" w:ascii="宋体" w:hAnsi="宋体" w:eastAsia="宋体" w:cs="宋体"/>
                <w:b/>
                <w:bCs/>
                <w:sz w:val="21"/>
                <w:szCs w:val="21"/>
                <w:lang w:eastAsia="zh-CN"/>
              </w:rPr>
              <w:t>对</w:t>
            </w:r>
            <w:r>
              <w:rPr>
                <w:rFonts w:hint="eastAsia" w:eastAsia="宋体" w:cs="宋体"/>
                <w:b/>
                <w:bCs/>
                <w:sz w:val="21"/>
                <w:szCs w:val="21"/>
                <w:lang w:eastAsia="zh-CN"/>
              </w:rPr>
              <w:t>现有技术</w:t>
            </w:r>
          </w:p>
          <w:p w14:paraId="23962ECD">
            <w:pPr>
              <w:shd w:val="clear" w:color="auto" w:fill="auto"/>
              <w:spacing w:line="360" w:lineRule="auto"/>
              <w:ind w:firstLine="422" w:firstLineChars="200"/>
              <w:jc w:val="center"/>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1</w:t>
            </w:r>
          </w:p>
        </w:tc>
        <w:tc>
          <w:tcPr>
            <w:tcW w:w="8760" w:type="dxa"/>
            <w:shd w:val="clear" w:color="auto" w:fill="FFFFFF"/>
            <w:vAlign w:val="center"/>
          </w:tcPr>
          <w:p w14:paraId="0E409840">
            <w:pPr>
              <w:widowControl/>
              <w:numPr>
                <w:ilvl w:val="0"/>
                <w:numId w:val="0"/>
              </w:numPr>
              <w:shd w:val="clear" w:color="auto" w:fill="auto"/>
              <w:ind w:leftChars="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1.1 </w:t>
            </w:r>
            <w:r>
              <w:rPr>
                <w:rFonts w:hint="eastAsia" w:cs="宋体"/>
                <w:b/>
                <w:bCs/>
                <w:sz w:val="21"/>
                <w:szCs w:val="21"/>
                <w:lang w:val="en-US" w:eastAsia="zh-CN"/>
              </w:rPr>
              <w:t>背景</w:t>
            </w:r>
          </w:p>
          <w:p w14:paraId="60FAE215">
            <w:pPr>
              <w:widowControl/>
              <w:numPr>
                <w:ilvl w:val="0"/>
                <w:numId w:val="0"/>
              </w:numPr>
              <w:shd w:val="clear" w:color="auto" w:fill="auto"/>
              <w:ind w:leftChars="0"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本发明面向算力网环境下的多数据中心跨域协同训练。该类场景中，参与方通常不是传统移动终端，而是位于不同地域、不同机构或不同安全域的数据中心、边缘云、行业云、智算中心或业务计算节点。这些节点具有服务器级计算能力，能够独立完成本地训练、模型微调和梯度计算；但其本地数据由于法律合规、行业监管、商业秘密或数据主权要求，不能直接出域。</w:t>
            </w:r>
          </w:p>
          <w:p w14:paraId="31A004DB">
            <w:pPr>
              <w:widowControl/>
              <w:numPr>
                <w:ilvl w:val="0"/>
                <w:numId w:val="0"/>
              </w:numPr>
              <w:shd w:val="clear" w:color="auto" w:fill="auto"/>
              <w:ind w:leftChars="0"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算力网中，计算资源通过统一调度、跨域编排和弹性迁移方式提供给训练任务。不同计算节点可能由不同运营主体、业务部门、云服务商或数据中心管理，节点之间缺乏长期稳定的共同信任根。即便这些节点都具有较强计算能力，也不能据此认为它们之间天然满足“多个服务器长期非合谋”的密码学部署假设。</w:t>
            </w:r>
          </w:p>
          <w:p w14:paraId="1BE4EA88">
            <w:pPr>
              <w:widowControl/>
              <w:numPr>
                <w:ilvl w:val="0"/>
                <w:numId w:val="0"/>
              </w:numPr>
              <w:shd w:val="clear" w:color="auto" w:fill="auto"/>
              <w:ind w:leftChars="0"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因此，算力网协同训练的核心矛盾不是单个节点计算能力不足，而是：跨域通信链路成本高、计算节点不完全可信、以及难以保证多个计算节点之间长期非合谋。在这种背景下，现有依赖三个或更多非合谋服务器的稀疏安全聚合方案难以直接适配。</w:t>
            </w:r>
          </w:p>
          <w:p w14:paraId="14BA26C9">
            <w:pPr>
              <w:widowControl/>
              <w:numPr>
                <w:ilvl w:val="0"/>
                <w:numId w:val="0"/>
              </w:numPr>
              <w:shd w:val="clear" w:color="auto" w:fill="auto"/>
              <w:ind w:leftChars="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1.2 现有技术及其不足</w:t>
            </w:r>
          </w:p>
          <w:p w14:paraId="32169B25">
            <w:pPr>
              <w:widowControl/>
              <w:numPr>
                <w:ilvl w:val="0"/>
                <w:numId w:val="0"/>
              </w:numPr>
              <w:shd w:val="clear" w:color="auto" w:fill="auto"/>
              <w:ind w:leftChars="0"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联邦学习允许多个数据持有方在不上传原始数据的情况下联合训练模型。对于视觉识别、工业检测、图学习、金融风控、医疗影像和大模型微调等任务，模型参数维度通常较高，若每轮上传全量梯度或模型差分，会在跨数据中心链路上产生较高通信成本。为降低通信开销，已有方法常采用Top-k稀疏化，即每个训练节点仅保留幅值最大的k个梯度分量并上传坐标索引和值。</w:t>
            </w:r>
          </w:p>
          <w:p w14:paraId="4FFAD995">
            <w:pPr>
              <w:widowControl/>
              <w:numPr>
                <w:ilvl w:val="0"/>
                <w:numId w:val="0"/>
              </w:numPr>
              <w:shd w:val="clear" w:color="auto" w:fill="auto"/>
              <w:ind w:leftChars="0"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明文Top-k虽然通信高效，但本地Top-k支持集与节点本地数据分布、类别偏好、样本结构和优化轨迹存在关联。主服务器连续观察各轮节点上传的稀疏坐标和值后，可能进行标签分布推断、属性推断、成员推断或梯度重构。因此，稀疏化本身并不等于隐私保护，反而使“本地选择了哪些坐标”成为新的泄露面。</w:t>
            </w:r>
          </w:p>
          <w:p w14:paraId="4FE1CA7C">
            <w:pPr>
              <w:widowControl/>
              <w:numPr>
                <w:ilvl w:val="0"/>
                <w:numId w:val="0"/>
              </w:numPr>
              <w:shd w:val="clear" w:color="auto" w:fill="auto"/>
              <w:ind w:leftChars="0"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针对稀疏更新隐私保护，已有代表性方案包括CCS2025的Clover类三服务器稀疏安全聚合方案、IEEE S&amp;P 2026的DSPRF类要求三个或多个非合谋服务器的安全稀疏聚合方案，以及传统安全聚合、差分隐私训练和资源受限安全聚合等方法。这些方法在特定部署假设下具有价值，但与算力网多数据中心跨域协同训练存在明显不匹配。</w:t>
            </w:r>
          </w:p>
          <w:p w14:paraId="27C04B24">
            <w:pPr>
              <w:widowControl/>
              <w:numPr>
                <w:ilvl w:val="0"/>
                <w:numId w:val="0"/>
              </w:numPr>
              <w:shd w:val="clear" w:color="auto" w:fill="auto"/>
              <w:ind w:leftChars="0"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lover和DSPRF类多服务器方案通常要求三个或更多服务器之间满足非合谋或不完全合谋假设。算力网中多个计算节点同属于复杂调度体系、可能受统一运维或共同攻击面影响，难以作为长期非合谋服务器使用。传统全维安全聚合可隐藏单个节点的全量更新，但通信与模型维度d成正比，无法发挥Top-k稀疏化在跨域链路中的通信优势。直接对稀疏向量做安全聚合需要处理私有索引匹配、私有集合并、坐标对齐和掉线修复，协议复杂且对动态节点不友好。算力网节点具有动态调度和弹性伸缩特征，训练过程中可能出现节点延迟、掉线或跨域链路中断。多轮交互或固定服务器角色的协议会增加恢复成本和部署难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7"/>
              <w:gridCol w:w="2740"/>
              <w:gridCol w:w="3353"/>
            </w:tblGrid>
            <w:tr w14:paraId="5E99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2307" w:type="dxa"/>
                  <w:shd w:val="clear" w:color="auto" w:fill="D9EAF7"/>
                  <w:vAlign w:val="center"/>
                </w:tcPr>
                <w:p w14:paraId="7A102F37">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问题类别</w:t>
                  </w:r>
                </w:p>
              </w:tc>
              <w:tc>
                <w:tcPr>
                  <w:tcW w:w="2740" w:type="dxa"/>
                  <w:shd w:val="clear" w:color="auto" w:fill="D9EAF7"/>
                  <w:vAlign w:val="center"/>
                </w:tcPr>
                <w:p w14:paraId="1CAEDE2A">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现有技术表现</w:t>
                  </w:r>
                </w:p>
              </w:tc>
              <w:tc>
                <w:tcPr>
                  <w:tcW w:w="3353" w:type="dxa"/>
                  <w:shd w:val="clear" w:color="auto" w:fill="D9EAF7"/>
                  <w:vAlign w:val="center"/>
                </w:tcPr>
                <w:p w14:paraId="3CA88B53">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在算力网协同训练中的技术问题</w:t>
                  </w:r>
                </w:p>
              </w:tc>
            </w:tr>
            <w:tr w14:paraId="45DB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jc w:val="center"/>
              </w:trPr>
              <w:tc>
                <w:tcPr>
                  <w:tcW w:w="2307" w:type="dxa"/>
                  <w:vAlign w:val="center"/>
                </w:tcPr>
                <w:p w14:paraId="1C48971B">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多服务器非合谋假设</w:t>
                  </w:r>
                </w:p>
              </w:tc>
              <w:tc>
                <w:tcPr>
                  <w:tcW w:w="2740" w:type="dxa"/>
                  <w:vAlign w:val="center"/>
                </w:tcPr>
                <w:p w14:paraId="30864155">
                  <w:pPr>
                    <w:widowControl/>
                    <w:numPr>
                      <w:ilvl w:val="0"/>
                      <w:numId w:val="0"/>
                    </w:numPr>
                    <w:shd w:val="clear" w:color="auto" w:fill="auto"/>
                    <w:ind w:left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Clover类、DSPRF类方案依赖多非合谋服务器</w:t>
                  </w:r>
                  <w:r>
                    <w:rPr>
                      <w:rFonts w:hint="eastAsia" w:cs="宋体"/>
                      <w:b w:val="0"/>
                      <w:bCs w:val="0"/>
                      <w:sz w:val="21"/>
                      <w:szCs w:val="21"/>
                      <w:lang w:val="en-US" w:eastAsia="zh-CN"/>
                    </w:rPr>
                    <w:t>假设</w:t>
                  </w:r>
                </w:p>
              </w:tc>
              <w:tc>
                <w:tcPr>
                  <w:tcW w:w="3353" w:type="dxa"/>
                  <w:vAlign w:val="center"/>
                </w:tcPr>
                <w:p w14:paraId="0A0D595F">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算力网多计算节点跨域调度，难以保证长期非合谋，部署假设过强</w:t>
                  </w:r>
                </w:p>
              </w:tc>
            </w:tr>
            <w:tr w14:paraId="148EB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2307" w:type="dxa"/>
                  <w:vAlign w:val="center"/>
                </w:tcPr>
                <w:p w14:paraId="6B653B08">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本地Top-k索引泄露</w:t>
                  </w:r>
                </w:p>
              </w:tc>
              <w:tc>
                <w:tcPr>
                  <w:tcW w:w="2740" w:type="dxa"/>
                  <w:vAlign w:val="center"/>
                </w:tcPr>
                <w:p w14:paraId="7BA590C4">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明文上传(S_i,v_i)</w:t>
                  </w:r>
                </w:p>
              </w:tc>
              <w:tc>
                <w:tcPr>
                  <w:tcW w:w="3353" w:type="dxa"/>
                  <w:vAlign w:val="center"/>
                </w:tcPr>
                <w:p w14:paraId="0B6E730A">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主服务器可观察本地支持集，推断数据分布或标签偏好</w:t>
                  </w:r>
                </w:p>
              </w:tc>
            </w:tr>
            <w:tr w14:paraId="6EFF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jc w:val="center"/>
              </w:trPr>
              <w:tc>
                <w:tcPr>
                  <w:tcW w:w="2307" w:type="dxa"/>
                  <w:vAlign w:val="center"/>
                </w:tcPr>
                <w:p w14:paraId="77701603">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全维安全聚合通信高</w:t>
                  </w:r>
                </w:p>
              </w:tc>
              <w:tc>
                <w:tcPr>
                  <w:tcW w:w="2740" w:type="dxa"/>
                  <w:vAlign w:val="center"/>
                </w:tcPr>
                <w:p w14:paraId="02445D5D">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对d维向量进行掩码和求和</w:t>
                  </w:r>
                </w:p>
              </w:tc>
              <w:tc>
                <w:tcPr>
                  <w:tcW w:w="3353" w:type="dxa"/>
                  <w:vAlign w:val="center"/>
                </w:tcPr>
                <w:p w14:paraId="56B941CC">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cs="宋体"/>
                      <w:b w:val="0"/>
                      <w:bCs w:val="0"/>
                      <w:sz w:val="21"/>
                      <w:szCs w:val="21"/>
                      <w:lang w:val="en-US" w:eastAsia="zh-CN"/>
                    </w:rPr>
                    <w:t>算力网</w:t>
                  </w:r>
                  <w:r>
                    <w:rPr>
                      <w:rFonts w:hint="eastAsia" w:ascii="宋体" w:hAnsi="宋体" w:eastAsia="宋体" w:cs="宋体"/>
                      <w:b w:val="0"/>
                      <w:bCs w:val="0"/>
                      <w:sz w:val="21"/>
                      <w:szCs w:val="21"/>
                      <w:lang w:val="en-US" w:eastAsia="zh-CN"/>
                    </w:rPr>
                    <w:t>跨</w:t>
                  </w:r>
                  <w:r>
                    <w:rPr>
                      <w:rFonts w:hint="eastAsia" w:cs="宋体"/>
                      <w:b w:val="0"/>
                      <w:bCs w:val="0"/>
                      <w:sz w:val="21"/>
                      <w:szCs w:val="21"/>
                      <w:lang w:val="en-US" w:eastAsia="zh-CN"/>
                    </w:rPr>
                    <w:t>域</w:t>
                  </w:r>
                  <w:r>
                    <w:rPr>
                      <w:rFonts w:hint="eastAsia" w:ascii="宋体" w:hAnsi="宋体" w:eastAsia="宋体" w:cs="宋体"/>
                      <w:b w:val="0"/>
                      <w:bCs w:val="0"/>
                      <w:sz w:val="21"/>
                      <w:szCs w:val="21"/>
                      <w:lang w:val="en-US" w:eastAsia="zh-CN"/>
                    </w:rPr>
                    <w:t>链路上传开销大，难以支撑高频训练</w:t>
                  </w:r>
                </w:p>
              </w:tc>
            </w:tr>
            <w:tr w14:paraId="1199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307" w:type="dxa"/>
                  <w:vAlign w:val="center"/>
                </w:tcPr>
                <w:p w14:paraId="62941C64">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私有稀疏向量处理复杂</w:t>
                  </w:r>
                </w:p>
              </w:tc>
              <w:tc>
                <w:tcPr>
                  <w:tcW w:w="2740" w:type="dxa"/>
                  <w:vAlign w:val="center"/>
                </w:tcPr>
                <w:p w14:paraId="3002D5A7">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需要私有索引匹配或集合并</w:t>
                  </w:r>
                </w:p>
              </w:tc>
              <w:tc>
                <w:tcPr>
                  <w:tcW w:w="3353" w:type="dxa"/>
                  <w:vAlign w:val="center"/>
                </w:tcPr>
                <w:p w14:paraId="200A8382">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协议交互复杂，掉线时修复成本高</w:t>
                  </w:r>
                </w:p>
              </w:tc>
            </w:tr>
            <w:tr w14:paraId="5D24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307" w:type="dxa"/>
                  <w:vAlign w:val="center"/>
                </w:tcPr>
                <w:p w14:paraId="0F77D685">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动态参与方与掉线</w:t>
                  </w:r>
                </w:p>
              </w:tc>
              <w:tc>
                <w:tcPr>
                  <w:tcW w:w="2740" w:type="dxa"/>
                  <w:vAlign w:val="center"/>
                </w:tcPr>
                <w:p w14:paraId="6D2350B7">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部分协议假设固定参与者或多轮同步</w:t>
                  </w:r>
                </w:p>
              </w:tc>
              <w:tc>
                <w:tcPr>
                  <w:tcW w:w="3353" w:type="dxa"/>
                  <w:vAlign w:val="center"/>
                </w:tcPr>
                <w:p w14:paraId="04EE53DD">
                  <w:pPr>
                    <w:widowControl/>
                    <w:numPr>
                      <w:ilvl w:val="0"/>
                      <w:numId w:val="0"/>
                    </w:numPr>
                    <w:shd w:val="clear" w:color="auto" w:fill="auto"/>
                    <w:ind w:left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算力网弹性调度、节点迁移、网络波动导致协议难稳定执行</w:t>
                  </w:r>
                </w:p>
              </w:tc>
            </w:tr>
          </w:tbl>
          <w:p w14:paraId="471A56AE">
            <w:pPr>
              <w:widowControl/>
              <w:numPr>
                <w:ilvl w:val="0"/>
                <w:numId w:val="0"/>
              </w:numPr>
              <w:shd w:val="clear" w:color="auto" w:fill="auto"/>
              <w:ind w:leftChars="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1.3 本发明要解决的技术问题</w:t>
            </w:r>
          </w:p>
          <w:p w14:paraId="6F8DF35F">
            <w:pPr>
              <w:widowControl/>
              <w:numPr>
                <w:ilvl w:val="0"/>
                <w:numId w:val="5"/>
              </w:numPr>
              <w:shd w:val="clear" w:color="auto" w:fill="auto"/>
              <w:ind w:left="420" w:leftChars="0" w:hanging="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在算力网跨域协同训练中，不依赖固定多个非合谋服务器</w:t>
            </w:r>
            <w:r>
              <w:rPr>
                <w:rFonts w:hint="eastAsia" w:cs="宋体"/>
                <w:b w:val="0"/>
                <w:bCs w:val="0"/>
                <w:sz w:val="21"/>
                <w:szCs w:val="21"/>
                <w:lang w:val="en-US" w:eastAsia="zh-CN"/>
              </w:rPr>
              <w:t>/计算节点</w:t>
            </w:r>
            <w:r>
              <w:rPr>
                <w:rFonts w:hint="eastAsia" w:ascii="宋体" w:hAnsi="宋体" w:eastAsia="宋体" w:cs="宋体"/>
                <w:b w:val="0"/>
                <w:bCs w:val="0"/>
                <w:sz w:val="21"/>
                <w:szCs w:val="21"/>
                <w:lang w:val="en-US" w:eastAsia="zh-CN"/>
              </w:rPr>
              <w:t>，即可隐藏单个计算节点的本地Top-k索引和值。</w:t>
            </w:r>
          </w:p>
          <w:p w14:paraId="4CB0188C">
            <w:pPr>
              <w:widowControl/>
              <w:numPr>
                <w:ilvl w:val="0"/>
                <w:numId w:val="5"/>
              </w:numPr>
              <w:shd w:val="clear" w:color="auto" w:fill="auto"/>
              <w:ind w:left="420" w:leftChars="0" w:hanging="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在协同方动态参与、部分掉线或跨域链路波动时，仍能完成本轮安全聚合，避免复杂的多轮掉线修复。</w:t>
            </w:r>
          </w:p>
          <w:p w14:paraId="73C3FAF1">
            <w:pPr>
              <w:widowControl/>
              <w:numPr>
                <w:ilvl w:val="0"/>
                <w:numId w:val="5"/>
              </w:numPr>
              <w:shd w:val="clear" w:color="auto" w:fill="auto"/>
              <w:ind w:left="420" w:leftChars="0" w:hanging="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在安全聚合层只处理固定长度线性Sketch向量，避免对私有稀疏索引进行密文匹配、私有排序或私有集合并。</w:t>
            </w:r>
          </w:p>
          <w:p w14:paraId="2F5D38FF">
            <w:pPr>
              <w:widowControl/>
              <w:numPr>
                <w:ilvl w:val="0"/>
                <w:numId w:val="5"/>
              </w:numPr>
              <w:shd w:val="clear" w:color="auto" w:fill="auto"/>
              <w:ind w:left="420" w:leftChars="0" w:hanging="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在不暴露单参与方稀疏更新的前提下，使主服务器获得可用于训练的全局聚合更新。</w:t>
            </w:r>
          </w:p>
          <w:p w14:paraId="30EDE036">
            <w:pPr>
              <w:widowControl/>
              <w:numPr>
                <w:ilvl w:val="0"/>
                <w:numId w:val="5"/>
              </w:numPr>
              <w:shd w:val="clear" w:color="auto" w:fill="auto"/>
              <w:ind w:left="420" w:leftChars="0" w:hanging="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显著降低跨数据中心主payload通信量，相较全量稠密上传达到数十倍压缩，并可在通信效率与训练精度之间进行配置化权衡。</w:t>
            </w:r>
          </w:p>
        </w:tc>
      </w:tr>
      <w:tr w14:paraId="23D1F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108" w:type="dxa"/>
            <w:bottom w:w="0" w:type="dxa"/>
            <w:right w:w="108" w:type="dxa"/>
          </w:tblCellMar>
        </w:tblPrEx>
        <w:trPr>
          <w:trHeight w:val="3824" w:hRule="atLeast"/>
        </w:trPr>
        <w:tc>
          <w:tcPr>
            <w:tcW w:w="427" w:type="dxa"/>
            <w:shd w:val="clear" w:color="auto" w:fill="D7D7D7"/>
            <w:vAlign w:val="center"/>
          </w:tcPr>
          <w:p w14:paraId="2CBF2DBD">
            <w:pPr>
              <w:shd w:val="clear" w:color="auto" w:fill="auto"/>
              <w:spacing w:line="360" w:lineRule="auto"/>
              <w:ind w:firstLine="422" w:firstLineChars="200"/>
              <w:jc w:val="center"/>
              <w:rPr>
                <w:rFonts w:ascii="宋体" w:hAnsi="宋体" w:eastAsia="宋体" w:cs="宋体"/>
                <w:b/>
                <w:bCs/>
                <w:sz w:val="21"/>
                <w:szCs w:val="21"/>
                <w:lang w:val="en-US" w:eastAsia="zh-CN"/>
              </w:rPr>
            </w:pPr>
            <w:r>
              <w:rPr>
                <w:rFonts w:hint="eastAsia" w:ascii="宋体" w:hAnsi="宋体" w:eastAsia="宋体" w:cs="宋体"/>
                <w:b/>
                <w:bCs/>
                <w:sz w:val="21"/>
                <w:szCs w:val="21"/>
                <w:lang w:eastAsia="zh-CN"/>
              </w:rPr>
              <w:t>对</w:t>
            </w:r>
            <w:r>
              <w:rPr>
                <w:rFonts w:hint="eastAsia" w:eastAsia="宋体" w:cs="宋体"/>
                <w:b/>
                <w:bCs/>
                <w:sz w:val="21"/>
                <w:szCs w:val="21"/>
                <w:lang w:eastAsia="zh-CN"/>
              </w:rPr>
              <w:t>发明构思及发明点</w:t>
            </w:r>
          </w:p>
          <w:p w14:paraId="309B3458">
            <w:pPr>
              <w:shd w:val="clear" w:color="auto" w:fill="auto"/>
              <w:spacing w:line="360" w:lineRule="auto"/>
              <w:ind w:firstLine="422" w:firstLineChars="200"/>
              <w:jc w:val="center"/>
              <w:rPr>
                <w:rFonts w:hint="eastAsia" w:ascii="宋体" w:hAnsi="宋体" w:eastAsia="宋体" w:cs="宋体"/>
                <w:b/>
                <w:bCs/>
                <w:kern w:val="0"/>
                <w:sz w:val="21"/>
                <w:szCs w:val="21"/>
                <w:lang w:eastAsia="zh-CN"/>
              </w:rPr>
            </w:pPr>
            <w:r>
              <w:rPr>
                <w:rFonts w:hint="eastAsia" w:ascii="宋体" w:hAnsi="宋体" w:eastAsia="宋体" w:cs="宋体"/>
                <w:b/>
                <w:bCs/>
                <w:sz w:val="21"/>
                <w:szCs w:val="21"/>
                <w:lang w:eastAsia="zh-CN"/>
              </w:rPr>
              <w:t>2</w:t>
            </w:r>
          </w:p>
        </w:tc>
        <w:tc>
          <w:tcPr>
            <w:tcW w:w="8760" w:type="dxa"/>
            <w:shd w:val="clear" w:color="auto" w:fill="FFFFFF"/>
            <w:vAlign w:val="center"/>
          </w:tcPr>
          <w:p w14:paraId="321479E9">
            <w:pPr>
              <w:widowControl/>
              <w:shd w:val="clear" w:color="auto" w:fill="auto"/>
              <w:ind w:firstLine="422" w:firstLineChars="200"/>
              <w:rPr>
                <w:rFonts w:eastAsia="宋体" w:cs="宋体"/>
                <w:b/>
                <w:bCs/>
                <w:sz w:val="21"/>
                <w:szCs w:val="21"/>
                <w:lang w:val="en-US" w:eastAsia="zh-CN"/>
              </w:rPr>
            </w:pPr>
            <w:r>
              <w:rPr>
                <w:rFonts w:eastAsia="宋体" w:cs="宋体"/>
                <w:b/>
                <w:bCs/>
                <w:sz w:val="21"/>
                <w:szCs w:val="21"/>
                <w:lang w:val="en-US" w:eastAsia="zh-CN"/>
              </w:rPr>
              <w:t>2.1 总体发明构思</w:t>
            </w:r>
          </w:p>
          <w:p w14:paraId="2C472387">
            <w:pPr>
              <w:widowControl/>
              <w:shd w:val="clear" w:color="auto" w:fill="auto"/>
              <w:ind w:firstLine="420" w:firstLineChars="200"/>
              <w:rPr>
                <w:rFonts w:eastAsia="宋体" w:cs="宋体"/>
                <w:b w:val="0"/>
                <w:bCs w:val="0"/>
                <w:sz w:val="21"/>
                <w:szCs w:val="21"/>
                <w:lang w:val="en-US" w:eastAsia="zh-CN"/>
              </w:rPr>
            </w:pPr>
            <w:r>
              <w:rPr>
                <w:rFonts w:eastAsia="宋体" w:cs="宋体"/>
                <w:b w:val="0"/>
                <w:bCs w:val="0"/>
                <w:sz w:val="21"/>
                <w:szCs w:val="21"/>
                <w:lang w:val="en-US" w:eastAsia="zh-CN"/>
              </w:rPr>
              <w:t>本发明提出一种面向算力网跨域协同训练的通信高效隐私保护协同训练方法。核心思想是：各数据中心计算节点仍使用标准global Top-k稀疏化降低本地更新规模，但不直接上传本地Top-k坐标和值；计算节点将本地Top-k稀疏更新编码为固定长度CountSketch表示，再通过一轮式安全聚合协议对Sketch向量进行求和；主协调服务器仅获得聚合Sketch或叠加差分隐私噪声后的聚合Sketch，并从中恢复全局稀疏更新。</w:t>
            </w:r>
          </w:p>
          <w:p w14:paraId="5D995715">
            <w:pPr>
              <w:widowControl/>
              <w:shd w:val="clear" w:color="auto" w:fill="auto"/>
              <w:ind w:firstLine="420" w:firstLineChars="200"/>
              <w:rPr>
                <w:rFonts w:eastAsia="宋体" w:cs="宋体"/>
                <w:b w:val="0"/>
                <w:bCs w:val="0"/>
                <w:sz w:val="21"/>
                <w:szCs w:val="21"/>
                <w:lang w:val="en-US" w:eastAsia="zh-CN"/>
              </w:rPr>
            </w:pPr>
            <w:r>
              <w:rPr>
                <w:rFonts w:eastAsia="宋体" w:cs="宋体"/>
                <w:b w:val="0"/>
                <w:bCs w:val="0"/>
                <w:sz w:val="21"/>
                <w:szCs w:val="21"/>
                <w:lang w:val="en-US" w:eastAsia="zh-CN"/>
              </w:rPr>
              <w:t>与依赖固定非合谋</w:t>
            </w:r>
            <w:r>
              <w:rPr>
                <w:rFonts w:hint="eastAsia" w:cs="宋体"/>
                <w:b w:val="0"/>
                <w:bCs w:val="0"/>
                <w:sz w:val="21"/>
                <w:szCs w:val="21"/>
                <w:lang w:val="en-US" w:eastAsia="zh-CN"/>
              </w:rPr>
              <w:t>计算节点</w:t>
            </w:r>
            <w:r>
              <w:rPr>
                <w:rFonts w:eastAsia="宋体" w:cs="宋体"/>
                <w:b w:val="0"/>
                <w:bCs w:val="0"/>
                <w:sz w:val="21"/>
                <w:szCs w:val="21"/>
                <w:lang w:val="en-US" w:eastAsia="zh-CN"/>
              </w:rPr>
              <w:t>的稀疏安全聚合不同，本发明采用单主协调服务器加动态门限辅助节点的方式执行聚合。主协调服务器</w:t>
            </w:r>
            <w:r>
              <w:rPr>
                <w:rFonts w:hint="eastAsia" w:cs="宋体"/>
                <w:b w:val="0"/>
                <w:bCs w:val="0"/>
                <w:sz w:val="21"/>
                <w:szCs w:val="21"/>
                <w:lang w:val="en-US" w:eastAsia="zh-CN"/>
              </w:rPr>
              <w:t>和</w:t>
            </w:r>
            <w:r>
              <w:rPr>
                <w:rFonts w:eastAsia="宋体" w:cs="宋体"/>
                <w:b w:val="0"/>
                <w:bCs w:val="0"/>
                <w:sz w:val="21"/>
                <w:szCs w:val="21"/>
                <w:lang w:val="en-US" w:eastAsia="zh-CN"/>
              </w:rPr>
              <w:t>辅助节点</w:t>
            </w:r>
            <w:r>
              <w:rPr>
                <w:rFonts w:hint="eastAsia" w:cs="宋体"/>
                <w:b w:val="0"/>
                <w:bCs w:val="0"/>
                <w:sz w:val="21"/>
                <w:szCs w:val="21"/>
                <w:lang w:val="en-US" w:eastAsia="zh-CN"/>
              </w:rPr>
              <w:t>均</w:t>
            </w:r>
            <w:r>
              <w:rPr>
                <w:rFonts w:eastAsia="宋体" w:cs="宋体"/>
                <w:b w:val="0"/>
                <w:bCs w:val="0"/>
                <w:sz w:val="21"/>
                <w:szCs w:val="21"/>
                <w:lang w:val="en-US" w:eastAsia="zh-CN"/>
              </w:rPr>
              <w:t>可由当轮可用计算节点、独立审计节点或算力网安全服务组件动态组成，不要求长期固定的</w:t>
            </w:r>
            <w:r>
              <w:rPr>
                <w:rFonts w:hint="eastAsia" w:cs="宋体"/>
                <w:b w:val="0"/>
                <w:bCs w:val="0"/>
                <w:sz w:val="21"/>
                <w:szCs w:val="21"/>
                <w:lang w:val="en-US" w:eastAsia="zh-CN"/>
              </w:rPr>
              <w:t>多个计算节点</w:t>
            </w:r>
            <w:r>
              <w:rPr>
                <w:rFonts w:eastAsia="宋体" w:cs="宋体"/>
                <w:b w:val="0"/>
                <w:bCs w:val="0"/>
                <w:sz w:val="21"/>
                <w:szCs w:val="21"/>
                <w:lang w:val="en-US" w:eastAsia="zh-CN"/>
              </w:rPr>
              <w:t>始终互不合谋。通过seed share、上下文绑定和active set构造，本方案将安全假设限定在单轮门限安全范围内，并支持节点动态上线、掉线和轮换。</w:t>
            </w:r>
          </w:p>
          <w:p w14:paraId="024F3AF6">
            <w:pPr>
              <w:widowControl/>
              <w:shd w:val="clear" w:color="auto" w:fill="auto"/>
              <w:ind w:firstLine="420" w:firstLineChars="200"/>
              <w:rPr>
                <w:rFonts w:eastAsia="宋体" w:cs="宋体"/>
                <w:b w:val="0"/>
                <w:bCs w:val="0"/>
                <w:sz w:val="21"/>
                <w:szCs w:val="21"/>
                <w:lang w:val="en-US" w:eastAsia="zh-CN"/>
              </w:rPr>
            </w:pPr>
            <w:r>
              <w:rPr>
                <w:rFonts w:eastAsia="宋体" w:cs="宋体"/>
                <w:b w:val="0"/>
                <w:bCs w:val="0"/>
                <w:sz w:val="21"/>
                <w:szCs w:val="21"/>
                <w:lang w:val="en-US" w:eastAsia="zh-CN"/>
              </w:rPr>
              <w:t>CountSketch具有线性可加性，即CS(x_1)+CS(x_2)=CS(x_1+x_2)。因此，安全聚合层不需要理解Top-k稀疏坐标集合，只需要对固定长度Sketch向量求和。主服务器看不到单个节点的本地支持集和数值，只能从聚合Sketch中恢复全局更新。</w:t>
            </w:r>
          </w:p>
          <w:p w14:paraId="47AFB49E">
            <w:pPr>
              <w:widowControl/>
              <w:shd w:val="clear" w:color="auto" w:fill="auto"/>
              <w:rPr>
                <w:rFonts w:eastAsia="宋体" w:cs="宋体"/>
                <w:b w:val="0"/>
                <w:bCs w:val="0"/>
                <w:sz w:val="21"/>
                <w:szCs w:val="21"/>
                <w:lang w:val="en-US" w:eastAsia="zh-CN"/>
              </w:rPr>
            </w:pPr>
            <w:r>
              <w:drawing>
                <wp:inline distT="0" distB="0" distL="114300" distR="114300">
                  <wp:extent cx="5424805" cy="3048635"/>
                  <wp:effectExtent l="0" t="0" r="4445" b="18415"/>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8"/>
                          <a:stretch>
                            <a:fillRect/>
                          </a:stretch>
                        </pic:blipFill>
                        <pic:spPr>
                          <a:xfrm>
                            <a:off x="0" y="0"/>
                            <a:ext cx="5424805" cy="3048635"/>
                          </a:xfrm>
                          <a:prstGeom prst="rect">
                            <a:avLst/>
                          </a:prstGeom>
                          <a:noFill/>
                          <a:ln>
                            <a:noFill/>
                          </a:ln>
                        </pic:spPr>
                      </pic:pic>
                    </a:graphicData>
                  </a:graphic>
                </wp:inline>
              </w:drawing>
            </w:r>
          </w:p>
          <w:p w14:paraId="35CD2932">
            <w:pPr>
              <w:widowControl/>
              <w:shd w:val="clear" w:color="auto" w:fill="auto"/>
              <w:ind w:firstLine="420" w:firstLineChars="200"/>
              <w:jc w:val="center"/>
              <w:rPr>
                <w:rFonts w:eastAsia="宋体" w:cs="宋体"/>
                <w:b w:val="0"/>
                <w:bCs w:val="0"/>
                <w:sz w:val="21"/>
                <w:szCs w:val="21"/>
                <w:lang w:val="en-US" w:eastAsia="zh-CN"/>
              </w:rPr>
            </w:pPr>
            <w:r>
              <w:rPr>
                <w:rFonts w:eastAsia="宋体" w:cs="宋体"/>
                <w:b w:val="0"/>
                <w:bCs w:val="0"/>
                <w:sz w:val="21"/>
                <w:szCs w:val="21"/>
                <w:lang w:val="en-US" w:eastAsia="zh-CN"/>
              </w:rPr>
              <w:t>附图1：面向算力网跨域协同训练的隐私保护架构</w:t>
            </w:r>
          </w:p>
          <w:p w14:paraId="2CD7B9CC">
            <w:pPr>
              <w:widowControl/>
              <w:shd w:val="clear" w:color="auto" w:fill="auto"/>
              <w:ind w:firstLine="420" w:firstLineChars="200"/>
              <w:rPr>
                <w:rFonts w:eastAsia="宋体" w:cs="宋体"/>
                <w:b w:val="0"/>
                <w:bCs w:val="0"/>
                <w:sz w:val="21"/>
                <w:szCs w:val="21"/>
                <w:lang w:val="en-US" w:eastAsia="zh-CN"/>
              </w:rPr>
            </w:pPr>
            <w:r>
              <w:rPr>
                <w:rFonts w:eastAsia="宋体" w:cs="宋体"/>
                <w:b w:val="0"/>
                <w:bCs w:val="0"/>
                <w:sz w:val="21"/>
                <w:szCs w:val="21"/>
                <w:lang w:val="en-US" w:eastAsia="zh-CN"/>
              </w:rPr>
              <w:t>2.2 主要发明点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7"/>
              <w:gridCol w:w="3173"/>
              <w:gridCol w:w="2800"/>
            </w:tblGrid>
            <w:tr w14:paraId="0997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427" w:type="dxa"/>
                  <w:shd w:val="clear" w:color="auto" w:fill="D9EAF7"/>
                  <w:vAlign w:val="center"/>
                </w:tcPr>
                <w:p w14:paraId="7C3C433E">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发明点</w:t>
                  </w:r>
                </w:p>
              </w:tc>
              <w:tc>
                <w:tcPr>
                  <w:tcW w:w="3173" w:type="dxa"/>
                  <w:shd w:val="clear" w:color="auto" w:fill="D9EAF7"/>
                  <w:vAlign w:val="center"/>
                </w:tcPr>
                <w:p w14:paraId="12B9B294">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核心内容</w:t>
                  </w:r>
                </w:p>
              </w:tc>
              <w:tc>
                <w:tcPr>
                  <w:tcW w:w="2800" w:type="dxa"/>
                  <w:shd w:val="clear" w:color="auto" w:fill="D9EAF7"/>
                  <w:vAlign w:val="center"/>
                </w:tcPr>
                <w:p w14:paraId="26C1C402">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适配算力网的技术效果</w:t>
                  </w:r>
                </w:p>
              </w:tc>
            </w:tr>
            <w:tr w14:paraId="391AF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jc w:val="center"/>
              </w:trPr>
              <w:tc>
                <w:tcPr>
                  <w:tcW w:w="2427" w:type="dxa"/>
                  <w:vAlign w:val="center"/>
                </w:tcPr>
                <w:p w14:paraId="531A4B08">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Top-k到固定长度Sketch的索引隐藏表示</w:t>
                  </w:r>
                </w:p>
              </w:tc>
              <w:tc>
                <w:tcPr>
                  <w:tcW w:w="3173" w:type="dxa"/>
                  <w:vAlign w:val="center"/>
                </w:tcPr>
                <w:p w14:paraId="153C1747">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计算节点将本地(S_i,v_i)编码为固定长度CountSketch，不上传显式坐标</w:t>
                  </w:r>
                </w:p>
              </w:tc>
              <w:tc>
                <w:tcPr>
                  <w:tcW w:w="2800" w:type="dxa"/>
                  <w:vAlign w:val="center"/>
                </w:tcPr>
                <w:p w14:paraId="3D34204E">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隐藏本地支持集，避免主协调服务器观察节点数据分布特征</w:t>
                  </w:r>
                </w:p>
              </w:tc>
            </w:tr>
            <w:tr w14:paraId="5335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jc w:val="center"/>
              </w:trPr>
              <w:tc>
                <w:tcPr>
                  <w:tcW w:w="2427" w:type="dxa"/>
                  <w:vAlign w:val="center"/>
                </w:tcPr>
                <w:p w14:paraId="12F832B8">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安全聚合与稀疏索引解耦</w:t>
                  </w:r>
                </w:p>
              </w:tc>
              <w:tc>
                <w:tcPr>
                  <w:tcW w:w="3173" w:type="dxa"/>
                  <w:vAlign w:val="center"/>
                </w:tcPr>
                <w:p w14:paraId="65BE94E5">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安全层只处理固定长度线性向量求和，不处理私有集合/排序</w:t>
                  </w:r>
                </w:p>
              </w:tc>
              <w:tc>
                <w:tcPr>
                  <w:tcW w:w="2800" w:type="dxa"/>
                  <w:vAlign w:val="center"/>
                </w:tcPr>
                <w:p w14:paraId="49B323C1">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降低协议复杂度，适配单主协调服务器部署</w:t>
                  </w:r>
                </w:p>
              </w:tc>
            </w:tr>
            <w:tr w14:paraId="189C2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jc w:val="center"/>
              </w:trPr>
              <w:tc>
                <w:tcPr>
                  <w:tcW w:w="2427" w:type="dxa"/>
                  <w:vAlign w:val="center"/>
                </w:tcPr>
                <w:p w14:paraId="7D1F8095">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不依赖固定多</w:t>
                  </w:r>
                  <w:r>
                    <w:rPr>
                      <w:rFonts w:hint="eastAsia" w:cs="宋体"/>
                      <w:b w:val="0"/>
                      <w:bCs w:val="0"/>
                      <w:sz w:val="21"/>
                      <w:szCs w:val="21"/>
                      <w:lang w:val="en-US" w:eastAsia="zh-CN"/>
                    </w:rPr>
                    <w:t>计算节点</w:t>
                  </w:r>
                  <w:r>
                    <w:rPr>
                      <w:rFonts w:eastAsia="宋体" w:cs="宋体"/>
                      <w:b w:val="0"/>
                      <w:bCs w:val="0"/>
                      <w:sz w:val="21"/>
                      <w:szCs w:val="21"/>
                      <w:lang w:val="en-US" w:eastAsia="zh-CN"/>
                    </w:rPr>
                    <w:t>非合谋</w:t>
                  </w:r>
                </w:p>
              </w:tc>
              <w:tc>
                <w:tcPr>
                  <w:tcW w:w="3173" w:type="dxa"/>
                  <w:vAlign w:val="center"/>
                </w:tcPr>
                <w:p w14:paraId="0622984C">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采用动态门限辅助节点和一轮seed share机制</w:t>
                  </w:r>
                </w:p>
              </w:tc>
              <w:tc>
                <w:tcPr>
                  <w:tcW w:w="2800" w:type="dxa"/>
                  <w:vAlign w:val="center"/>
                </w:tcPr>
                <w:p w14:paraId="583A3990">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避免Clover及多服务器方案对长期非合谋服务器的强依赖</w:t>
                  </w:r>
                </w:p>
              </w:tc>
            </w:tr>
            <w:tr w14:paraId="5B6D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jc w:val="center"/>
              </w:trPr>
              <w:tc>
                <w:tcPr>
                  <w:tcW w:w="2427" w:type="dxa"/>
                  <w:vAlign w:val="center"/>
                </w:tcPr>
                <w:p w14:paraId="4ED01808">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动态active set与掉线处理</w:t>
                  </w:r>
                </w:p>
              </w:tc>
              <w:tc>
                <w:tcPr>
                  <w:tcW w:w="3173" w:type="dxa"/>
                  <w:vAlign w:val="center"/>
                </w:tcPr>
                <w:p w14:paraId="0F8AB40A">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只聚合具备有效masked sketch和足够seed share的节点</w:t>
                  </w:r>
                </w:p>
              </w:tc>
              <w:tc>
                <w:tcPr>
                  <w:tcW w:w="2800" w:type="dxa"/>
                  <w:vAlign w:val="center"/>
                </w:tcPr>
                <w:p w14:paraId="12EC7077">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适应算力网弹性调度、节点迁移和跨域链路波动</w:t>
                  </w:r>
                </w:p>
              </w:tc>
            </w:tr>
            <w:tr w14:paraId="5C27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427" w:type="dxa"/>
                  <w:vAlign w:val="center"/>
                </w:tcPr>
                <w:p w14:paraId="5E3CAD2B">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固定公开Sketch layout</w:t>
                  </w:r>
                </w:p>
              </w:tc>
              <w:tc>
                <w:tcPr>
                  <w:tcW w:w="3173" w:type="dxa"/>
                  <w:vAlign w:val="center"/>
                </w:tcPr>
                <w:p w14:paraId="57824BD6">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Sketch长度由公开预算确定，不随本轮私有Top-k层分布变化</w:t>
                  </w:r>
                </w:p>
              </w:tc>
              <w:tc>
                <w:tcPr>
                  <w:tcW w:w="2800" w:type="dxa"/>
                  <w:vAlign w:val="center"/>
                </w:tcPr>
                <w:p w14:paraId="4ECC5039">
                  <w:pPr>
                    <w:keepNext w:val="0"/>
                    <w:keepLines w:val="0"/>
                    <w:pageBreakBefore w:val="0"/>
                    <w:widowControl/>
                    <w:shd w:val="clear" w:color="auto" w:fill="auto"/>
                    <w:kinsoku/>
                    <w:wordWrap/>
                    <w:overflowPunct/>
                    <w:topLinePunct w:val="0"/>
                    <w:autoSpaceDE/>
                    <w:autoSpaceDN/>
                    <w:bidi w:val="0"/>
                    <w:adjustRightInd/>
                    <w:snapToGrid/>
                    <w:ind w:firstLine="0" w:firstLineChars="0"/>
                    <w:textAlignment w:val="auto"/>
                    <w:rPr>
                      <w:rFonts w:eastAsia="宋体" w:cs="宋体"/>
                      <w:b w:val="0"/>
                      <w:bCs w:val="0"/>
                      <w:sz w:val="21"/>
                      <w:szCs w:val="21"/>
                      <w:lang w:val="en-US" w:eastAsia="zh-CN"/>
                    </w:rPr>
                  </w:pPr>
                  <w:r>
                    <w:rPr>
                      <w:rFonts w:eastAsia="宋体" w:cs="宋体"/>
                      <w:b w:val="0"/>
                      <w:bCs w:val="0"/>
                      <w:sz w:val="21"/>
                      <w:szCs w:val="21"/>
                      <w:lang w:val="en-US" w:eastAsia="zh-CN"/>
                    </w:rPr>
                    <w:t>主payload固定，避免层级活动泄露并便于带宽规划</w:t>
                  </w:r>
                </w:p>
              </w:tc>
            </w:tr>
          </w:tbl>
          <w:p w14:paraId="16C8C6E4">
            <w:pPr>
              <w:widowControl/>
              <w:shd w:val="clear" w:color="auto" w:fill="auto"/>
              <w:ind w:firstLine="420" w:firstLineChars="200"/>
              <w:rPr>
                <w:rFonts w:eastAsia="宋体" w:cs="宋体"/>
                <w:b w:val="0"/>
                <w:bCs w:val="0"/>
                <w:sz w:val="21"/>
                <w:szCs w:val="21"/>
                <w:lang w:val="en-US" w:eastAsia="zh-CN"/>
              </w:rPr>
            </w:pPr>
          </w:p>
        </w:tc>
      </w:tr>
      <w:tr w14:paraId="4A6A3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10" w:hRule="atLeast"/>
        </w:trPr>
        <w:tc>
          <w:tcPr>
            <w:tcW w:w="427" w:type="dxa"/>
            <w:shd w:val="clear" w:color="auto" w:fill="D7D7D7"/>
            <w:vAlign w:val="center"/>
          </w:tcPr>
          <w:p w14:paraId="4C6A086D">
            <w:pPr>
              <w:shd w:val="clear" w:color="auto" w:fill="auto"/>
              <w:spacing w:line="360" w:lineRule="auto"/>
              <w:jc w:val="both"/>
              <w:rPr>
                <w:rFonts w:hint="eastAsia" w:ascii="宋体" w:hAnsi="宋体" w:eastAsia="宋体" w:cs="宋体"/>
                <w:b/>
                <w:bCs/>
                <w:sz w:val="21"/>
                <w:szCs w:val="21"/>
                <w:lang w:val="en-US" w:eastAsia="zh-CN"/>
              </w:rPr>
            </w:pPr>
            <w:r>
              <w:rPr>
                <w:rFonts w:hint="eastAsia" w:eastAsia="宋体" w:cs="宋体"/>
                <w:b/>
                <w:bCs/>
                <w:sz w:val="21"/>
                <w:szCs w:val="21"/>
                <w:lang w:val="en-US" w:eastAsia="zh-CN"/>
              </w:rPr>
              <w:t>详细方案</w:t>
            </w:r>
          </w:p>
        </w:tc>
        <w:tc>
          <w:tcPr>
            <w:tcW w:w="8760" w:type="dxa"/>
            <w:shd w:val="clear" w:color="auto" w:fill="FFFFFF"/>
            <w:vAlign w:val="center"/>
          </w:tcPr>
          <w:p w14:paraId="5759DBD8">
            <w:pPr>
              <w:widowControl/>
              <w:numPr>
                <w:ilvl w:val="0"/>
                <w:numId w:val="0"/>
              </w:numPr>
              <w:shd w:val="clear" w:color="auto" w:fill="auto"/>
              <w:ind w:leftChars="0"/>
              <w:rPr>
                <w:rFonts w:eastAsia="宋体" w:cs="宋体"/>
                <w:b/>
                <w:bCs/>
                <w:color w:val="000000"/>
                <w:kern w:val="0"/>
                <w:sz w:val="21"/>
                <w:szCs w:val="21"/>
                <w:lang w:val="en-US" w:eastAsia="zh-CN"/>
              </w:rPr>
            </w:pPr>
            <w:r>
              <w:rPr>
                <w:rFonts w:eastAsia="宋体" w:cs="宋体"/>
                <w:b/>
                <w:bCs/>
                <w:color w:val="000000"/>
                <w:kern w:val="0"/>
                <w:sz w:val="21"/>
                <w:szCs w:val="21"/>
                <w:lang w:val="en-US" w:eastAsia="zh-CN"/>
              </w:rPr>
              <w:t>3.1 系统实体与威胁模型</w:t>
            </w:r>
          </w:p>
          <w:p w14:paraId="0F6383C7">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系统包括多个数据中心计算节点、一个主协调服务器、</w:t>
            </w:r>
            <w:r>
              <w:rPr>
                <w:rFonts w:hint="eastAsia" w:cs="宋体"/>
                <w:b w:val="0"/>
                <w:bCs w:val="0"/>
                <w:color w:val="000000"/>
                <w:kern w:val="0"/>
                <w:sz w:val="21"/>
                <w:szCs w:val="21"/>
                <w:lang w:val="en-US" w:eastAsia="zh-CN"/>
              </w:rPr>
              <w:t>以及</w:t>
            </w:r>
            <w:r>
              <w:rPr>
                <w:rFonts w:eastAsia="宋体" w:cs="宋体"/>
                <w:b w:val="0"/>
                <w:bCs w:val="0"/>
                <w:color w:val="000000"/>
                <w:kern w:val="0"/>
                <w:sz w:val="21"/>
                <w:szCs w:val="21"/>
                <w:lang w:val="en-US" w:eastAsia="zh-CN"/>
              </w:rPr>
              <w:t>若干动态门限辅助节点。数据中心计算节点持有本地数据并执行本地训练；主协调服务器负责发布全局模型、收集masked sketch、恢复全局更新并更新模型；动态门限辅助节点负责接收seed share或噪声份额，并向主协调服务器提供聚合掩码恢复所需的门限份额。</w:t>
            </w:r>
          </w:p>
          <w:p w14:paraId="127C39C2">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本实施例主要面向算力网中“计算节点具备服务器能力但不完全可信”的环境。主协调服务器可能试图窥探单个计算节点的Top-k坐标和</w:t>
            </w:r>
            <w:r>
              <w:rPr>
                <w:rFonts w:hint="eastAsia" w:cs="宋体"/>
                <w:b w:val="0"/>
                <w:bCs w:val="0"/>
                <w:color w:val="000000"/>
                <w:kern w:val="0"/>
                <w:sz w:val="21"/>
                <w:szCs w:val="21"/>
                <w:lang w:val="en-US" w:eastAsia="zh-CN"/>
              </w:rPr>
              <w:t>数</w:t>
            </w:r>
            <w:r>
              <w:rPr>
                <w:rFonts w:eastAsia="宋体" w:cs="宋体"/>
                <w:b w:val="0"/>
                <w:bCs w:val="0"/>
                <w:color w:val="000000"/>
                <w:kern w:val="0"/>
                <w:sz w:val="21"/>
                <w:szCs w:val="21"/>
                <w:lang w:val="en-US" w:eastAsia="zh-CN"/>
              </w:rPr>
              <w:t>值。多个计算节点之间难以被假定为长期非合谋，因此本发明不采用固定三服务器非合谋作为基础部署条件，而采用按轮动态组织的门限辅助机制。只要单轮中主协调服务器与达到门限数量的辅助节点未联合泄露单个节点seed，即可保护单个节点更新。</w:t>
            </w:r>
          </w:p>
          <w:p w14:paraId="38B4DEE1">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p>
          <w:p w14:paraId="7154E555">
            <w:pPr>
              <w:widowControl/>
              <w:numPr>
                <w:ilvl w:val="0"/>
                <w:numId w:val="0"/>
              </w:numPr>
              <w:shd w:val="clear" w:color="auto" w:fill="auto"/>
              <w:ind w:leftChars="0"/>
              <w:rPr>
                <w:rFonts w:eastAsia="宋体" w:cs="宋体"/>
                <w:b/>
                <w:bCs/>
                <w:color w:val="000000"/>
                <w:kern w:val="0"/>
                <w:sz w:val="21"/>
                <w:szCs w:val="21"/>
                <w:lang w:val="en-US" w:eastAsia="zh-CN"/>
              </w:rPr>
            </w:pPr>
            <w:r>
              <w:rPr>
                <w:rFonts w:eastAsia="宋体" w:cs="宋体"/>
                <w:b/>
                <w:bCs/>
                <w:color w:val="000000"/>
                <w:kern w:val="0"/>
                <w:sz w:val="21"/>
                <w:szCs w:val="21"/>
                <w:lang w:val="en-US" w:eastAsia="zh-CN"/>
              </w:rPr>
              <w:t>3.2 本地训练与Global Top-k稀疏化</w:t>
            </w:r>
          </w:p>
          <w:p w14:paraId="5895E55C">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第t轮，主协调服务器发布全局模型w_t和公开配置RoundConfig_t。计算节点i在本地数据D_i上执行本地训练，得到梯度或模型差分g_i^t。所有可训练参数按照公开顺序展平为d维向量。</w:t>
            </w:r>
          </w:p>
          <w:p w14:paraId="3ED39E66">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为保持与标准Top-k联邦学习一致，本发明采用global Top-k，即在整个模型展平向量上选取幅值最大的k个坐标：S_i^t=TopK(g_i^t,k)，v_i^t=g_i^t[S_i^t]。该方式避免把Top-k改成按层选择，从而保持训练效用与明文Top-k基线的一致性。</w:t>
            </w:r>
          </w:p>
          <w:p w14:paraId="6116A24A">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可选地，计算节点维护本地残差r_i^t。第t轮先令z_i^t=g_i^t+r_i^t，再对z_i^t执行Top-k；未被选择的部分留在本地残差中：r_i^{t+1}=z_i^t−Sparse(S_i^t,v_i^t)。残差不上传，不增加主通信，只用于缓解长期压缩造成的信息丢失。</w:t>
            </w:r>
          </w:p>
          <w:p w14:paraId="58DFA155">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p>
          <w:p w14:paraId="2C272B65">
            <w:pPr>
              <w:widowControl/>
              <w:numPr>
                <w:ilvl w:val="0"/>
                <w:numId w:val="0"/>
              </w:numPr>
              <w:shd w:val="clear" w:color="auto" w:fill="auto"/>
              <w:ind w:leftChars="0"/>
              <w:rPr>
                <w:rFonts w:eastAsia="宋体" w:cs="宋体"/>
                <w:b/>
                <w:bCs/>
                <w:color w:val="000000"/>
                <w:kern w:val="0"/>
                <w:sz w:val="21"/>
                <w:szCs w:val="21"/>
                <w:lang w:val="en-US" w:eastAsia="zh-CN"/>
              </w:rPr>
            </w:pPr>
            <w:r>
              <w:rPr>
                <w:rFonts w:eastAsia="宋体" w:cs="宋体"/>
                <w:b/>
                <w:bCs/>
                <w:color w:val="000000"/>
                <w:kern w:val="0"/>
                <w:sz w:val="21"/>
                <w:szCs w:val="21"/>
                <w:lang w:val="en-US" w:eastAsia="zh-CN"/>
              </w:rPr>
              <w:t>3.3 固定公开CountSketch编码</w:t>
            </w:r>
          </w:p>
          <w:p w14:paraId="45FFA9BB">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对每个节点的稀疏更新(S_i^t,v_i^t)，本发明使用按层分区的CountSketch编码。Top-k选择仍在全模型范围内执行，但编码时根据坐标所属层映射到对应层的Sketch区域。这样能够避免不同层之间发生哈希碰撞，并允许根据公开策略对不同层分配不同bucket预算。</w:t>
            </w:r>
          </w:p>
          <w:p w14:paraId="2CEA7C41">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每一层的CountSketch包含R行和B_l个bucket。对坐标j，行r使用bucket hash h_{l,r}(j)和sign hash ξ_{l,r}(j)∈{−1,+1}，将值写入对应bucket：S_l[r,h_{l,r}(j)]←S_l[r,h_{l,r}(j)]+ξ_{l,r}(j)·v_j。所有层Sketch拼接后得到固定长度向量u_i^t。</w:t>
            </w:r>
          </w:p>
          <w:p w14:paraId="362C9353">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为了适配算力网跨域链路带宽规划并避免层级活动泄露，本发明优选固定公开Sketch layout。每轮、每层bucket数由公开预算、模型结构、历史公开校准统计或固定规则确定，不由本轮单个节点的私有Top-k层分布动态决定。因此，即使启用残差反馈，节点上传payload长度也保持不变。</w:t>
            </w:r>
          </w:p>
          <w:p w14:paraId="6B856CB0">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p>
          <w:p w14:paraId="1DFE2C1A">
            <w:pPr>
              <w:widowControl/>
              <w:numPr>
                <w:ilvl w:val="0"/>
                <w:numId w:val="0"/>
              </w:numPr>
              <w:shd w:val="clear" w:color="auto" w:fill="auto"/>
              <w:ind w:leftChars="0"/>
              <w:rPr>
                <w:rFonts w:eastAsia="宋体" w:cs="宋体"/>
                <w:b/>
                <w:bCs/>
                <w:color w:val="000000"/>
                <w:kern w:val="0"/>
                <w:sz w:val="21"/>
                <w:szCs w:val="21"/>
                <w:lang w:val="en-US" w:eastAsia="zh-CN"/>
              </w:rPr>
            </w:pPr>
            <w:r>
              <w:rPr>
                <w:rFonts w:eastAsia="宋体" w:cs="宋体"/>
                <w:b/>
                <w:bCs/>
                <w:color w:val="000000"/>
                <w:kern w:val="0"/>
                <w:sz w:val="21"/>
                <w:szCs w:val="21"/>
                <w:lang w:val="en-US" w:eastAsia="zh-CN"/>
              </w:rPr>
              <w:t>3.4 一轮式安全Sketch聚合</w:t>
            </w:r>
          </w:p>
          <w:p w14:paraId="6B51CB59">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一轮式安全Sketch聚合流程</w:t>
            </w:r>
            <w:r>
              <w:rPr>
                <w:rFonts w:hint="eastAsia" w:cs="宋体"/>
                <w:b w:val="0"/>
                <w:bCs w:val="0"/>
                <w:color w:val="000000"/>
                <w:kern w:val="0"/>
                <w:sz w:val="21"/>
                <w:szCs w:val="21"/>
                <w:lang w:val="en-US" w:eastAsia="zh-CN"/>
              </w:rPr>
              <w:t>：</w:t>
            </w:r>
            <w:r>
              <w:rPr>
                <w:rFonts w:eastAsia="宋体" w:cs="宋体"/>
                <w:b w:val="0"/>
                <w:bCs w:val="0"/>
                <w:color w:val="000000"/>
                <w:kern w:val="0"/>
                <w:sz w:val="21"/>
                <w:szCs w:val="21"/>
                <w:lang w:val="en-US" w:eastAsia="zh-CN"/>
              </w:rPr>
              <w:t>计算节点i采样短seed s_i，并使用seed-homomorphic PRG生成与Sketch等长的掩码m_i=SHPRG(s_i)。节点发送给主协调服务器的是ct_i=u_i+m_i，而不是u_i本身。节点将seed s_i通过Shamir门限秘密分享发送给动态门限辅助节点。</w:t>
            </w:r>
          </w:p>
          <w:p w14:paraId="0144B995">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辅助节点j接收各计算节点的seed share后，在seed空间内求和得到聚合seed share S_j=Σ_i share_{i,j}，并返回绑定上下文的收据。主协调服务器从至少τ个有效辅助节点处获得聚合份额后，重构aggregate seed s_sum=Σ_i s_i，计算聚合掩码M=SHPRG(s_sum)，最终得到聚合Sketch U=Σ_i ct_i−M。服务器只能获得聚合Sketch，不能恢复任一单节点的本地Top-k支持集和值。</w:t>
            </w:r>
          </w:p>
          <w:p w14:paraId="2237424F">
            <w:pPr>
              <w:widowControl/>
              <w:numPr>
                <w:ilvl w:val="0"/>
                <w:numId w:val="0"/>
              </w:numPr>
              <w:shd w:val="clear" w:color="auto" w:fill="auto"/>
              <w:ind w:leftChars="0"/>
              <w:rPr>
                <w:rFonts w:eastAsia="宋体" w:cs="宋体"/>
                <w:b/>
                <w:bCs/>
                <w:color w:val="000000"/>
                <w:kern w:val="0"/>
                <w:sz w:val="21"/>
                <w:szCs w:val="21"/>
                <w:lang w:val="en-US" w:eastAsia="zh-CN"/>
              </w:rPr>
            </w:pPr>
          </w:p>
          <w:p w14:paraId="7884F4BD">
            <w:pPr>
              <w:widowControl/>
              <w:numPr>
                <w:ilvl w:val="0"/>
                <w:numId w:val="0"/>
              </w:numPr>
              <w:shd w:val="clear" w:color="auto" w:fill="auto"/>
              <w:ind w:leftChars="0"/>
              <w:rPr>
                <w:rFonts w:eastAsia="宋体" w:cs="宋体"/>
                <w:b/>
                <w:bCs/>
                <w:color w:val="000000"/>
                <w:kern w:val="0"/>
                <w:sz w:val="21"/>
                <w:szCs w:val="21"/>
                <w:lang w:val="en-US" w:eastAsia="zh-CN"/>
              </w:rPr>
            </w:pPr>
            <w:r>
              <w:rPr>
                <w:rFonts w:eastAsia="宋体" w:cs="宋体"/>
                <w:b/>
                <w:bCs/>
                <w:color w:val="000000"/>
                <w:kern w:val="0"/>
                <w:sz w:val="21"/>
                <w:szCs w:val="21"/>
                <w:lang w:val="en-US" w:eastAsia="zh-CN"/>
              </w:rPr>
              <w:t>3.5 上下文绑定、active set与掉线处理</w:t>
            </w:r>
          </w:p>
          <w:p w14:paraId="418BCEA0">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RoundConfig_t包含round_id、模型哈希、选择节点集合、active节点集合、CountSketch seed、rows、bucket layout、recover_k、量化规则、安全聚合参数和DP参数等公开信息。各方独立计算ctx_t=H(RoundConfig_t)，并要求客户端密文、seed share、辅助节点收据和服务器证明均绑定该ctx_t。</w:t>
            </w:r>
          </w:p>
          <w:p w14:paraId="5F81AB5E">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在算力网环境中，节点掉线或跨域链路延迟是常态。本发明构造active set C_t，仅包含同时具有有效masked sketch和足够seed share的节点。掉线节点不进入本轮聚合，下一轮可重新加入。active set hash被写入context和辅助节点收据中，从而防止主协调服务器选择性删除节点或伪造掉线。</w:t>
            </w:r>
          </w:p>
          <w:p w14:paraId="75547218">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上下文绑定的目的不是隐藏公开参数，而是保证客户端编码语义、辅助节点聚合语义、服务器恢复语义和审计语义一致。若主协调服务器试图替换模型版本、CountSketch seed、recover_k、量化scale、DP噪声参数或active set，则ctx_t不一致或证明无法通过。</w:t>
            </w:r>
          </w:p>
          <w:p w14:paraId="5EF834FC">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p>
          <w:p w14:paraId="088AB1D5">
            <w:pPr>
              <w:widowControl/>
              <w:numPr>
                <w:ilvl w:val="0"/>
                <w:numId w:val="0"/>
              </w:numPr>
              <w:shd w:val="clear" w:color="auto" w:fill="auto"/>
              <w:ind w:leftChars="0"/>
              <w:rPr>
                <w:rFonts w:eastAsia="宋体" w:cs="宋体"/>
                <w:b/>
                <w:bCs/>
                <w:color w:val="000000"/>
                <w:kern w:val="0"/>
                <w:sz w:val="21"/>
                <w:szCs w:val="21"/>
                <w:lang w:val="en-US" w:eastAsia="zh-CN"/>
              </w:rPr>
            </w:pPr>
            <w:r>
              <w:rPr>
                <w:rFonts w:eastAsia="宋体" w:cs="宋体"/>
                <w:b/>
                <w:bCs/>
                <w:color w:val="000000"/>
                <w:kern w:val="0"/>
                <w:sz w:val="21"/>
                <w:szCs w:val="21"/>
                <w:lang w:val="en-US" w:eastAsia="zh-CN"/>
              </w:rPr>
              <w:t>3.6 Sketch聚合恢复</w:t>
            </w:r>
          </w:p>
          <w:p w14:paraId="3B65D5DA">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服务器获得聚合Sketch U后，根据公开hash函数和固定layout恢复全局更新。对于候选坐标j，在每一行r得到估计值\hat{x}_{j,r}=ξ_r(j)·U[r,h_r(j)]，再取中位数\hat{x}_j=median_r(\hat{x}_{j,r})。服务器恢复全局Top-K_recover坐标，并将其还原为模型参数形状。</w:t>
            </w:r>
          </w:p>
          <w:p w14:paraId="1CC1C599">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为对齐明文Top-k聚合的实际支持集规模，本发明优选K_recover=min(k·|C_t|·ρ,d)，其中|C_t|为本轮active节点数量，ρ为可配置倍率。这样可避免仅恢复单节点k个坐标导致全局有效更新不足。</w:t>
            </w:r>
          </w:p>
          <w:p w14:paraId="367E2F7F">
            <w:pPr>
              <w:widowControl/>
              <w:numPr>
                <w:ilvl w:val="0"/>
                <w:numId w:val="0"/>
              </w:numPr>
              <w:shd w:val="clear" w:color="auto" w:fill="auto"/>
              <w:ind w:leftChars="0" w:firstLine="420" w:firstLineChars="200"/>
              <w:rPr>
                <w:rFonts w:eastAsia="宋体" w:cs="宋体"/>
                <w:b w:val="0"/>
                <w:bCs w:val="0"/>
                <w:color w:val="000000"/>
                <w:kern w:val="0"/>
                <w:sz w:val="21"/>
                <w:szCs w:val="21"/>
                <w:lang w:val="en-US" w:eastAsia="zh-CN"/>
              </w:rPr>
            </w:pPr>
          </w:p>
          <w:p w14:paraId="5E5CFF7A">
            <w:pPr>
              <w:widowControl/>
              <w:numPr>
                <w:ilvl w:val="0"/>
                <w:numId w:val="0"/>
              </w:numPr>
              <w:shd w:val="clear" w:color="auto" w:fill="auto"/>
              <w:ind w:leftChars="0"/>
              <w:rPr>
                <w:rFonts w:eastAsia="宋体" w:cs="宋体"/>
                <w:b/>
                <w:bCs/>
                <w:color w:val="000000"/>
                <w:kern w:val="0"/>
                <w:sz w:val="21"/>
                <w:szCs w:val="21"/>
                <w:lang w:val="en-US" w:eastAsia="zh-CN"/>
              </w:rPr>
            </w:pPr>
            <w:r>
              <w:rPr>
                <w:rFonts w:eastAsia="宋体" w:cs="宋体"/>
                <w:b/>
                <w:bCs/>
                <w:color w:val="000000"/>
                <w:kern w:val="0"/>
                <w:sz w:val="21"/>
                <w:szCs w:val="21"/>
                <w:lang w:val="en-US" w:eastAsia="zh-CN"/>
              </w:rPr>
              <w:t>3.</w:t>
            </w:r>
            <w:r>
              <w:rPr>
                <w:rFonts w:hint="eastAsia" w:cs="宋体"/>
                <w:b/>
                <w:bCs/>
                <w:color w:val="000000"/>
                <w:kern w:val="0"/>
                <w:sz w:val="21"/>
                <w:szCs w:val="21"/>
                <w:lang w:val="en-US" w:eastAsia="zh-CN"/>
              </w:rPr>
              <w:t>7</w:t>
            </w:r>
            <w:r>
              <w:rPr>
                <w:rFonts w:eastAsia="宋体" w:cs="宋体"/>
                <w:b/>
                <w:bCs/>
                <w:color w:val="000000"/>
                <w:kern w:val="0"/>
                <w:sz w:val="21"/>
                <w:szCs w:val="21"/>
                <w:lang w:val="en-US" w:eastAsia="zh-CN"/>
              </w:rPr>
              <w:t xml:space="preserve"> 协议执行步骤</w:t>
            </w:r>
          </w:p>
          <w:p w14:paraId="3C32618C">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（1）主协调服务器初始化全局模型，确定Top-k比例、固定公开Sketch layout、量化规则、安全聚合参数和DP参数。</w:t>
            </w:r>
          </w:p>
          <w:p w14:paraId="79DDD43E">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（2）每轮开始时，服务器发布RoundConfig_t和ctx_t，包括模型哈希、选择节点集合、Sketch参数。</w:t>
            </w:r>
          </w:p>
          <w:p w14:paraId="28149819">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（3）数据中心计算节点校验配置，下载全局模型，在本地数据上训练得到更新g_i^t。</w:t>
            </w:r>
          </w:p>
          <w:p w14:paraId="2C4B2DCA">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（4）节点可选加入本地残差，并在全模型展平向量上执行global Top-k，得到本地稀疏更新。</w:t>
            </w:r>
          </w:p>
          <w:p w14:paraId="256414B7">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（5）节点按照固定公开layout对Top-k稀疏更新进行CountSketch编码，得到u_i^t。</w:t>
            </w:r>
          </w:p>
          <w:p w14:paraId="3D802E86">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（6）节点按样本数权重对Sketch值加权，执行可选裁剪和低比特量化。</w:t>
            </w:r>
          </w:p>
          <w:p w14:paraId="2454386A">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（7）节点采样seed s_i，计算掩码m_i=SHPRG(s_i)，向服务器发送ct_i=u_i^t+m_i，向辅助节点发送seed share。</w:t>
            </w:r>
          </w:p>
          <w:p w14:paraId="09E0B2C4">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（8）辅助节点聚合seed share并</w:t>
            </w:r>
            <w:r>
              <w:rPr>
                <w:rFonts w:hint="eastAsia" w:cs="宋体"/>
                <w:b w:val="0"/>
                <w:bCs w:val="0"/>
                <w:color w:val="000000"/>
                <w:kern w:val="0"/>
                <w:sz w:val="21"/>
                <w:szCs w:val="21"/>
                <w:lang w:val="en-US" w:eastAsia="zh-CN"/>
              </w:rPr>
              <w:t>发送给服务器</w:t>
            </w:r>
            <w:r>
              <w:rPr>
                <w:rFonts w:eastAsia="宋体" w:cs="宋体"/>
                <w:b w:val="0"/>
                <w:bCs w:val="0"/>
                <w:color w:val="000000"/>
                <w:kern w:val="0"/>
                <w:sz w:val="21"/>
                <w:szCs w:val="21"/>
                <w:lang w:val="en-US" w:eastAsia="zh-CN"/>
              </w:rPr>
              <w:t>。</w:t>
            </w:r>
          </w:p>
          <w:p w14:paraId="3741881E">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（9）服务器构造active set，重构聚合seed，生成聚合掩码，得到聚合Sketch U。</w:t>
            </w:r>
          </w:p>
          <w:p w14:paraId="3E8278D8">
            <w:pPr>
              <w:widowControl/>
              <w:numPr>
                <w:ilvl w:val="0"/>
                <w:numId w:val="0"/>
              </w:numPr>
              <w:shd w:val="clear" w:color="auto" w:fill="auto"/>
              <w:ind w:leftChars="0"/>
              <w:rPr>
                <w:rFonts w:eastAsia="宋体" w:cs="宋体"/>
                <w:b w:val="0"/>
                <w:bCs w:val="0"/>
                <w:color w:val="000000"/>
                <w:kern w:val="0"/>
                <w:sz w:val="21"/>
                <w:szCs w:val="21"/>
                <w:lang w:val="en-US" w:eastAsia="zh-CN"/>
              </w:rPr>
            </w:pPr>
            <w:r>
              <w:rPr>
                <w:rFonts w:eastAsia="宋体" w:cs="宋体"/>
                <w:b w:val="0"/>
                <w:bCs w:val="0"/>
                <w:color w:val="000000"/>
                <w:kern w:val="0"/>
                <w:sz w:val="21"/>
                <w:szCs w:val="21"/>
                <w:lang w:val="en-US" w:eastAsia="zh-CN"/>
              </w:rPr>
              <w:t>（1</w:t>
            </w:r>
            <w:r>
              <w:rPr>
                <w:rFonts w:hint="eastAsia" w:cs="宋体"/>
                <w:b w:val="0"/>
                <w:bCs w:val="0"/>
                <w:color w:val="000000"/>
                <w:kern w:val="0"/>
                <w:sz w:val="21"/>
                <w:szCs w:val="21"/>
                <w:lang w:val="en-US" w:eastAsia="zh-CN"/>
              </w:rPr>
              <w:t>0</w:t>
            </w:r>
            <w:r>
              <w:rPr>
                <w:rFonts w:eastAsia="宋体" w:cs="宋体"/>
                <w:b w:val="0"/>
                <w:bCs w:val="0"/>
                <w:color w:val="000000"/>
                <w:kern w:val="0"/>
                <w:sz w:val="21"/>
                <w:szCs w:val="21"/>
                <w:lang w:val="en-US" w:eastAsia="zh-CN"/>
              </w:rPr>
              <w:t>）服务器按照公开恢复规则恢复全局稀疏更新</w:t>
            </w:r>
            <w:r>
              <w:rPr>
                <w:rFonts w:hint="eastAsia" w:cs="宋体"/>
                <w:b w:val="0"/>
                <w:bCs w:val="0"/>
                <w:color w:val="000000"/>
                <w:kern w:val="0"/>
                <w:sz w:val="21"/>
                <w:szCs w:val="21"/>
                <w:lang w:val="en-US" w:eastAsia="zh-CN"/>
              </w:rPr>
              <w:t>并</w:t>
            </w:r>
            <w:r>
              <w:rPr>
                <w:rFonts w:eastAsia="宋体" w:cs="宋体"/>
                <w:b w:val="0"/>
                <w:bCs w:val="0"/>
                <w:color w:val="000000"/>
                <w:kern w:val="0"/>
                <w:sz w:val="21"/>
                <w:szCs w:val="21"/>
                <w:lang w:val="en-US" w:eastAsia="zh-CN"/>
              </w:rPr>
              <w:t>更新模型。</w:t>
            </w:r>
          </w:p>
        </w:tc>
      </w:tr>
    </w:tbl>
    <w:p w14:paraId="32A61684">
      <w:pPr>
        <w:numPr>
          <w:ilvl w:val="0"/>
          <w:numId w:val="0"/>
        </w:numPr>
        <w:ind w:leftChars="0"/>
        <w:jc w:val="left"/>
        <w:rPr>
          <w:rFonts w:hint="eastAsia" w:ascii="Open Sans" w:hAnsi="Open Sans" w:eastAsia="宋体" w:cs="Open Sans"/>
          <w:szCs w:val="24"/>
          <w:lang w:val="en-US" w:eastAsia="zh-CN"/>
        </w:rPr>
      </w:pPr>
    </w:p>
    <w:p w14:paraId="079EC855">
      <w:pPr>
        <w:numPr>
          <w:ilvl w:val="0"/>
          <w:numId w:val="0"/>
        </w:numPr>
        <w:ind w:leftChars="0"/>
        <w:jc w:val="left"/>
        <w:rPr>
          <w:rFonts w:hint="eastAsia" w:ascii="Open Sans" w:hAnsi="Open Sans" w:eastAsia="宋体" w:cs="Open Sans"/>
          <w:szCs w:val="24"/>
          <w:lang w:val="en-US" w:eastAsia="zh-CN"/>
        </w:rPr>
      </w:pPr>
    </w:p>
    <w:p w14:paraId="4DF1CE5E">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eastAsia="宋体" w:cs="Open Sans"/>
          <w:b/>
          <w:bCs/>
          <w:szCs w:val="24"/>
          <w:lang w:val="en-US" w:eastAsia="zh-CN"/>
        </w:rPr>
        <w:t>4. 通信效率评估与现有方案对比</w:t>
      </w:r>
    </w:p>
    <w:p w14:paraId="3293AEC1">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eastAsia="宋体" w:cs="Open Sans"/>
          <w:b/>
          <w:bCs/>
          <w:szCs w:val="24"/>
          <w:lang w:val="en-US" w:eastAsia="zh-CN"/>
        </w:rPr>
        <w:t>4.1 通信复杂度分析</w:t>
      </w:r>
    </w:p>
    <w:p w14:paraId="66C813E4">
      <w:pPr>
        <w:numPr>
          <w:ilvl w:val="0"/>
          <w:numId w:val="0"/>
        </w:numPr>
        <w:ind w:leftChars="0" w:firstLine="480" w:firstLineChars="20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设模型可训练参数维度为d，单节点Top-k数量为k，CountSketch总bucket数为L，传输值字节数为b。全量稠密float32上传通信约为4d字节，全量float16上传通信约为2d字节；明文Top-k若传32位索引和16位值，通信约为6k字节；本方案主payload为bL字节，外加较小的seed share、收据和上下文哈希开销。</w:t>
      </w:r>
    </w:p>
    <w:p w14:paraId="7077EDCC">
      <w:pPr>
        <w:numPr>
          <w:ilvl w:val="0"/>
          <w:numId w:val="0"/>
        </w:numPr>
        <w:ind w:leftChars="0" w:firstLine="480" w:firstLineChars="20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在典型低通信配置下，本方案可将主payload控制在全量float32稠密上传的约1.6%左右，相当于约1/0.016≈62.5倍通信压缩；相较全量float16稠密上传约31倍压缩。对于跨数据中心算力网训练，通信瓶颈通常来自广域链路，因此这种主payload压缩比直接降低了跨域训练的带宽成本和轮次时延。</w:t>
      </w:r>
    </w:p>
    <w:p w14:paraId="2771F722">
      <w:pPr>
        <w:numPr>
          <w:ilvl w:val="0"/>
          <w:numId w:val="0"/>
        </w:numPr>
        <w:ind w:leftChars="0"/>
        <w:jc w:val="left"/>
        <w:rPr>
          <w:rFonts w:hint="eastAsia" w:ascii="Open Sans" w:hAnsi="Open Sans" w:eastAsia="宋体" w:cs="Open Sans"/>
          <w:szCs w:val="24"/>
          <w:lang w:val="en-US" w:eastAsia="zh-CN"/>
        </w:rPr>
      </w:pPr>
      <w:r>
        <w:drawing>
          <wp:inline distT="0" distB="0" distL="114300" distR="114300">
            <wp:extent cx="5758815" cy="2043430"/>
            <wp:effectExtent l="0" t="0" r="1333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758815" cy="2043430"/>
                    </a:xfrm>
                    <a:prstGeom prst="rect">
                      <a:avLst/>
                    </a:prstGeom>
                    <a:noFill/>
                    <a:ln>
                      <a:noFill/>
                    </a:ln>
                  </pic:spPr>
                </pic:pic>
              </a:graphicData>
            </a:graphic>
          </wp:inline>
        </w:drawing>
      </w:r>
    </w:p>
    <w:p w14:paraId="574AF918">
      <w:pPr>
        <w:numPr>
          <w:ilvl w:val="0"/>
          <w:numId w:val="0"/>
        </w:numPr>
        <w:ind w:leftChars="0"/>
        <w:jc w:val="center"/>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附图3：典型主payload通信效率示意</w:t>
      </w:r>
    </w:p>
    <w:p w14:paraId="6BA30A0E">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eastAsia="宋体" w:cs="Open Sans"/>
          <w:b/>
          <w:bCs/>
          <w:szCs w:val="24"/>
          <w:lang w:val="en-US" w:eastAsia="zh-CN"/>
        </w:rPr>
        <w:t>4.2 与代表性现有方案对比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883"/>
        <w:gridCol w:w="1852"/>
        <w:gridCol w:w="1847"/>
        <w:gridCol w:w="1921"/>
      </w:tblGrid>
      <w:tr w14:paraId="06A7B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shd w:val="clear" w:color="auto" w:fill="D9EAF7"/>
            <w:vAlign w:val="center"/>
          </w:tcPr>
          <w:p w14:paraId="3B335F4A">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维度</w:t>
            </w:r>
          </w:p>
        </w:tc>
        <w:tc>
          <w:tcPr>
            <w:tcW w:w="1994" w:type="dxa"/>
            <w:shd w:val="clear" w:color="auto" w:fill="D9EAF7"/>
            <w:vAlign w:val="center"/>
          </w:tcPr>
          <w:p w14:paraId="1FA21D35">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Clover类方案</w:t>
            </w:r>
          </w:p>
        </w:tc>
        <w:tc>
          <w:tcPr>
            <w:tcW w:w="1994" w:type="dxa"/>
            <w:shd w:val="clear" w:color="auto" w:fill="D9EAF7"/>
            <w:vAlign w:val="center"/>
          </w:tcPr>
          <w:p w14:paraId="0E0A7B92">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DSPRF类多服务器方案</w:t>
            </w:r>
          </w:p>
        </w:tc>
        <w:tc>
          <w:tcPr>
            <w:tcW w:w="1994" w:type="dxa"/>
            <w:shd w:val="clear" w:color="auto" w:fill="D9EAF7"/>
            <w:vAlign w:val="center"/>
          </w:tcPr>
          <w:p w14:paraId="1CC51141">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传统安全聚合</w:t>
            </w:r>
          </w:p>
        </w:tc>
        <w:tc>
          <w:tcPr>
            <w:tcW w:w="1994" w:type="dxa"/>
            <w:shd w:val="clear" w:color="auto" w:fill="D9EAF7"/>
            <w:vAlign w:val="center"/>
          </w:tcPr>
          <w:p w14:paraId="49625B0D">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本发明方案</w:t>
            </w:r>
          </w:p>
        </w:tc>
      </w:tr>
      <w:tr w14:paraId="52C8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vAlign w:val="center"/>
          </w:tcPr>
          <w:p w14:paraId="5649A069">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部署假设</w:t>
            </w:r>
          </w:p>
        </w:tc>
        <w:tc>
          <w:tcPr>
            <w:tcW w:w="1994" w:type="dxa"/>
            <w:vAlign w:val="center"/>
          </w:tcPr>
          <w:p w14:paraId="66B57073">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三服务器/多服务器非合谋</w:t>
            </w:r>
          </w:p>
        </w:tc>
        <w:tc>
          <w:tcPr>
            <w:tcW w:w="1994" w:type="dxa"/>
            <w:vAlign w:val="center"/>
          </w:tcPr>
          <w:p w14:paraId="10353786">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三个或更多非合谋服务器</w:t>
            </w:r>
          </w:p>
        </w:tc>
        <w:tc>
          <w:tcPr>
            <w:tcW w:w="1994" w:type="dxa"/>
            <w:vAlign w:val="center"/>
          </w:tcPr>
          <w:p w14:paraId="3C5AAD1C">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通常单服务器但面向全维向量</w:t>
            </w:r>
          </w:p>
        </w:tc>
        <w:tc>
          <w:tcPr>
            <w:tcW w:w="1994" w:type="dxa"/>
            <w:vAlign w:val="center"/>
          </w:tcPr>
          <w:p w14:paraId="11F9504E">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单主协调服务器+动态门限辅助，不依赖非合谋假设</w:t>
            </w:r>
          </w:p>
        </w:tc>
      </w:tr>
      <w:tr w14:paraId="10B3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vAlign w:val="center"/>
          </w:tcPr>
          <w:p w14:paraId="161F9364">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算力网适配性</w:t>
            </w:r>
          </w:p>
        </w:tc>
        <w:tc>
          <w:tcPr>
            <w:tcW w:w="1994" w:type="dxa"/>
            <w:vAlign w:val="center"/>
          </w:tcPr>
          <w:p w14:paraId="5D1A2455">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跨域计算节点长期非合谋难保障</w:t>
            </w:r>
          </w:p>
        </w:tc>
        <w:tc>
          <w:tcPr>
            <w:tcW w:w="1994" w:type="dxa"/>
            <w:vAlign w:val="center"/>
          </w:tcPr>
          <w:p w14:paraId="2A107668">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同样依赖多节点非合谋，难适配统一调度环境</w:t>
            </w:r>
          </w:p>
        </w:tc>
        <w:tc>
          <w:tcPr>
            <w:tcW w:w="1994" w:type="dxa"/>
            <w:vAlign w:val="center"/>
          </w:tcPr>
          <w:p w14:paraId="300F81E2">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通信高，难支撑高维跨域训练</w:t>
            </w:r>
          </w:p>
        </w:tc>
        <w:tc>
          <w:tcPr>
            <w:tcW w:w="1994" w:type="dxa"/>
            <w:vAlign w:val="center"/>
          </w:tcPr>
          <w:p w14:paraId="381B75C9">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适配多数据中心动态参与、掉线和跨域链路约束</w:t>
            </w:r>
          </w:p>
        </w:tc>
      </w:tr>
      <w:tr w14:paraId="11E3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vAlign w:val="center"/>
          </w:tcPr>
          <w:p w14:paraId="6C0B60F5">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聚合对象</w:t>
            </w:r>
          </w:p>
        </w:tc>
        <w:tc>
          <w:tcPr>
            <w:tcW w:w="1994" w:type="dxa"/>
            <w:vAlign w:val="center"/>
          </w:tcPr>
          <w:p w14:paraId="4585837A">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私有Top-k稀疏向量</w:t>
            </w:r>
          </w:p>
        </w:tc>
        <w:tc>
          <w:tcPr>
            <w:tcW w:w="1994" w:type="dxa"/>
            <w:vAlign w:val="center"/>
          </w:tcPr>
          <w:p w14:paraId="2936702A">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私有稀疏/全维更新</w:t>
            </w:r>
          </w:p>
        </w:tc>
        <w:tc>
          <w:tcPr>
            <w:tcW w:w="1994" w:type="dxa"/>
            <w:vAlign w:val="center"/>
          </w:tcPr>
          <w:p w14:paraId="745EA2DF">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多为全维向量</w:t>
            </w:r>
          </w:p>
        </w:tc>
        <w:tc>
          <w:tcPr>
            <w:tcW w:w="1994" w:type="dxa"/>
            <w:vAlign w:val="center"/>
          </w:tcPr>
          <w:p w14:paraId="2C2AEC30">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固定长度CountSketch</w:t>
            </w:r>
          </w:p>
        </w:tc>
      </w:tr>
      <w:tr w14:paraId="742E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vAlign w:val="center"/>
          </w:tcPr>
          <w:p w14:paraId="7E2B2B3B">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索引隐藏</w:t>
            </w:r>
          </w:p>
        </w:tc>
        <w:tc>
          <w:tcPr>
            <w:tcW w:w="1994" w:type="dxa"/>
            <w:vAlign w:val="center"/>
          </w:tcPr>
          <w:p w14:paraId="68037909">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隐藏但协议需处理私有索引</w:t>
            </w:r>
          </w:p>
        </w:tc>
        <w:tc>
          <w:tcPr>
            <w:tcW w:w="1994" w:type="dxa"/>
            <w:vAlign w:val="center"/>
          </w:tcPr>
          <w:p w14:paraId="2E098391">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依赖多服务器协议处理</w:t>
            </w:r>
          </w:p>
        </w:tc>
        <w:tc>
          <w:tcPr>
            <w:tcW w:w="1994" w:type="dxa"/>
            <w:vAlign w:val="center"/>
          </w:tcPr>
          <w:p w14:paraId="3851E62D">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全维无索引；明文稀疏则泄露</w:t>
            </w:r>
          </w:p>
        </w:tc>
        <w:tc>
          <w:tcPr>
            <w:tcW w:w="1994" w:type="dxa"/>
            <w:vAlign w:val="center"/>
          </w:tcPr>
          <w:p w14:paraId="7A18B729">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客户端不上传本地Top-k坐标</w:t>
            </w:r>
          </w:p>
        </w:tc>
      </w:tr>
      <w:tr w14:paraId="2178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vAlign w:val="center"/>
          </w:tcPr>
          <w:p w14:paraId="49AA08A0">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通信效率</w:t>
            </w:r>
          </w:p>
        </w:tc>
        <w:tc>
          <w:tcPr>
            <w:tcW w:w="1994" w:type="dxa"/>
            <w:vAlign w:val="center"/>
          </w:tcPr>
          <w:p w14:paraId="66ABAF48">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优于通用ORAM，但多服务器协议有额外开销</w:t>
            </w:r>
          </w:p>
        </w:tc>
        <w:tc>
          <w:tcPr>
            <w:tcW w:w="1994" w:type="dxa"/>
            <w:vAlign w:val="center"/>
          </w:tcPr>
          <w:p w14:paraId="4D66DEF1">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依赖多服务器交互与份额通信</w:t>
            </w:r>
          </w:p>
        </w:tc>
        <w:tc>
          <w:tcPr>
            <w:tcW w:w="1994" w:type="dxa"/>
            <w:vAlign w:val="center"/>
          </w:tcPr>
          <w:p w14:paraId="0B5F4738">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O(d)，高维模型开销大</w:t>
            </w:r>
          </w:p>
        </w:tc>
        <w:tc>
          <w:tcPr>
            <w:tcW w:w="1994" w:type="dxa"/>
            <w:vAlign w:val="center"/>
          </w:tcPr>
          <w:p w14:paraId="29EF759F">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主payload约为全量float32的1.6%，约62倍压缩</w:t>
            </w:r>
          </w:p>
        </w:tc>
      </w:tr>
    </w:tbl>
    <w:p w14:paraId="181388B7">
      <w:pPr>
        <w:numPr>
          <w:ilvl w:val="0"/>
          <w:numId w:val="0"/>
        </w:numPr>
        <w:ind w:leftChars="0" w:firstLine="480" w:firstLineChars="20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本发明相对于Clover类和DSPRF类方案的主要区别在于：现有方案通常将多个服务器的非合谋作为核心安全基础，而本发明面向算力网中多计算节点非合谋难以保障的现实条件，不要求部署长期固定的多非合谋聚合服务器。主协调服务器只聚合固定长度Sketch，每轮训练可选取非固定计算节点作为主协调服务器；动态辅助节点只处理seed share或噪声份额，节点可按轮轮换，掉线节点不进入active set。</w:t>
      </w:r>
    </w:p>
    <w:p w14:paraId="43C80FAE">
      <w:pPr>
        <w:numPr>
          <w:ilvl w:val="0"/>
          <w:numId w:val="0"/>
        </w:numPr>
        <w:ind w:leftChars="0" w:firstLine="480" w:firstLineChars="20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本发明相对于传统全维安全聚合的主要优势在于：在隐藏单节点更新的同时，聚合维度从d维全量更新降为可配置的Sketch长度L，主payload可达到数十倍压缩。相对于明文Top-k，本发明不向主协调服务器暴露本地Top-k坐标和值。</w:t>
      </w:r>
    </w:p>
    <w:p w14:paraId="6AFD54EF">
      <w:pPr>
        <w:numPr>
          <w:ilvl w:val="0"/>
          <w:numId w:val="0"/>
        </w:numPr>
        <w:ind w:leftChars="0" w:firstLine="480" w:firstLineChars="200"/>
        <w:jc w:val="left"/>
        <w:rPr>
          <w:rFonts w:hint="eastAsia" w:ascii="Open Sans" w:hAnsi="Open Sans" w:eastAsia="宋体" w:cs="Open Sans"/>
          <w:szCs w:val="24"/>
          <w:lang w:val="en-US" w:eastAsia="zh-CN"/>
        </w:rPr>
      </w:pPr>
    </w:p>
    <w:p w14:paraId="02D65D26">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eastAsia="宋体" w:cs="Open Sans"/>
          <w:b/>
          <w:bCs/>
          <w:szCs w:val="24"/>
          <w:lang w:val="en-US" w:eastAsia="zh-CN"/>
        </w:rPr>
        <w:t>5. 可选实施方式</w:t>
      </w:r>
    </w:p>
    <w:p w14:paraId="11C11B88">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eastAsia="宋体" w:cs="Open Sans"/>
          <w:b/>
          <w:bCs/>
          <w:szCs w:val="24"/>
          <w:lang w:val="en-US" w:eastAsia="zh-CN"/>
        </w:rPr>
        <w:t>5.1 高精度模式、平衡模式与低通信模式</w:t>
      </w:r>
    </w:p>
    <w:p w14:paraId="0CF5ACAE">
      <w:pPr>
        <w:numPr>
          <w:ilvl w:val="0"/>
          <w:numId w:val="0"/>
        </w:numPr>
        <w:ind w:leftChars="0" w:firstLine="480" w:firstLineChars="20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本方案可根据算力网链路条件和训练精度要求配置不同模式。高精度模式使用较多CountSketch行数和bucket预算，使恢复更新更接近明文Top-k；平衡模式将主payload配置为接近明文Top-k或低于明文Top-k；低通信模式使用更短Sketch、float16、int16 public scale或float8模拟传输，使通信相较全量稠密上传达到数十倍压缩。</w:t>
      </w:r>
    </w:p>
    <w:p w14:paraId="737D1DFF">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eastAsia="宋体" w:cs="Open Sans"/>
          <w:b/>
          <w:bCs/>
          <w:szCs w:val="24"/>
          <w:lang w:val="en-US" w:eastAsia="zh-CN"/>
        </w:rPr>
        <w:t>5.2 混合层级聚合</w:t>
      </w:r>
    </w:p>
    <w:p w14:paraId="3510FE46">
      <w:pPr>
        <w:numPr>
          <w:ilvl w:val="0"/>
          <w:numId w:val="0"/>
        </w:numPr>
        <w:ind w:leftChars="0" w:firstLine="480" w:firstLineChars="20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对于参数量较小但对模型精度敏感的层，可采用</w:t>
      </w:r>
      <w:r>
        <w:rPr>
          <w:rFonts w:hint="eastAsia" w:ascii="Open Sans" w:hAnsi="Open Sans" w:cs="Open Sans"/>
          <w:szCs w:val="24"/>
          <w:lang w:val="en-US" w:eastAsia="zh-CN"/>
        </w:rPr>
        <w:t>稠密安全聚合</w:t>
      </w:r>
      <w:r>
        <w:rPr>
          <w:rFonts w:hint="eastAsia" w:ascii="Open Sans" w:hAnsi="Open Sans" w:eastAsia="宋体" w:cs="Open Sans"/>
          <w:szCs w:val="24"/>
          <w:lang w:val="en-US" w:eastAsia="zh-CN"/>
        </w:rPr>
        <w:t>；对于参数量较大的层，采用CountSketch编码。该方式既避免小层因min bucket造成通信浪费，又可提高敏感层恢复稳定性。</w:t>
      </w:r>
    </w:p>
    <w:p w14:paraId="424EF74D">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eastAsia="宋体" w:cs="Open Sans"/>
          <w:b/>
          <w:bCs/>
          <w:szCs w:val="24"/>
          <w:lang w:val="en-US" w:eastAsia="zh-CN"/>
        </w:rPr>
        <w:t>5.3 动态辅助节点选择</w:t>
      </w:r>
    </w:p>
    <w:p w14:paraId="753C86AA">
      <w:pPr>
        <w:numPr>
          <w:ilvl w:val="0"/>
          <w:numId w:val="0"/>
        </w:numPr>
        <w:ind w:leftChars="0" w:firstLine="480" w:firstLineChars="20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动态门限辅助节点可由算力网调度系统在每轮从可用数据中心</w:t>
      </w:r>
      <w:r>
        <w:rPr>
          <w:rFonts w:hint="eastAsia" w:ascii="Open Sans" w:hAnsi="Open Sans" w:cs="Open Sans"/>
          <w:szCs w:val="24"/>
          <w:lang w:val="en-US" w:eastAsia="zh-CN"/>
        </w:rPr>
        <w:t>或</w:t>
      </w:r>
      <w:r>
        <w:rPr>
          <w:rFonts w:hint="eastAsia" w:ascii="Open Sans" w:hAnsi="Open Sans" w:eastAsia="宋体" w:cs="Open Sans"/>
          <w:szCs w:val="24"/>
          <w:lang w:val="en-US" w:eastAsia="zh-CN"/>
        </w:rPr>
        <w:t>独立安全服务节点中选取。节点仅在当轮持有seed share，不长期保存完整密钥，从而降低长期合谋风险和部署负担。</w:t>
      </w:r>
    </w:p>
    <w:p w14:paraId="7B4A5C80">
      <w:pPr>
        <w:numPr>
          <w:ilvl w:val="0"/>
          <w:numId w:val="0"/>
        </w:numPr>
        <w:ind w:leftChars="0" w:firstLine="480" w:firstLineChars="200"/>
        <w:jc w:val="left"/>
        <w:rPr>
          <w:rFonts w:hint="eastAsia" w:ascii="Open Sans" w:hAnsi="Open Sans" w:eastAsia="宋体" w:cs="Open Sans"/>
          <w:szCs w:val="24"/>
          <w:lang w:val="en-US" w:eastAsia="zh-CN"/>
        </w:rPr>
      </w:pPr>
    </w:p>
    <w:p w14:paraId="7C0BC465">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eastAsia="宋体" w:cs="Open Sans"/>
          <w:b/>
          <w:bCs/>
          <w:szCs w:val="24"/>
          <w:lang w:val="en-US" w:eastAsia="zh-CN"/>
        </w:rPr>
        <w:t>6. 应用场景</w:t>
      </w:r>
    </w:p>
    <w:p w14:paraId="33928D41">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多数据中心医疗影像协同训练：医院或区域数据中心具有服务器算力但数据不能出域，需在跨域链路受限条件下完成模型训练。</w:t>
      </w:r>
    </w:p>
    <w:p w14:paraId="5317C58C">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金融风控跨机构协同训练：银行、保险、支付或反欺诈中心作为计算节点，不希望暴露本地特征偏好和样本分布。</w:t>
      </w:r>
    </w:p>
    <w:p w14:paraId="5191C559">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工业互联网与算力网融合训练：边缘云、工厂数据中心和区域智算中心动态参与训练，存在节点上线/掉线和跨域链路波动。</w:t>
      </w:r>
    </w:p>
    <w:p w14:paraId="2221AC72">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政务和科研跨域模型训练：不同部门或实验平台需要共同训练模型，但不适合引入长期固定多服务器非合谋基础设施。</w:t>
      </w:r>
    </w:p>
    <w:p w14:paraId="23BC04BC">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大模型或视觉模型跨域微调：模型维度高，全量通信成本大，适合使用Top-k与Sketch聚合降低主payload。</w:t>
      </w:r>
    </w:p>
    <w:p w14:paraId="46B737CB">
      <w:pPr>
        <w:numPr>
          <w:ilvl w:val="0"/>
          <w:numId w:val="0"/>
        </w:numPr>
        <w:ind w:leftChars="0"/>
        <w:jc w:val="left"/>
        <w:rPr>
          <w:rFonts w:hint="eastAsia" w:ascii="Open Sans" w:hAnsi="Open Sans" w:eastAsia="宋体" w:cs="Open Sans"/>
          <w:szCs w:val="24"/>
          <w:lang w:val="en-US" w:eastAsia="zh-CN"/>
        </w:rPr>
      </w:pPr>
    </w:p>
    <w:p w14:paraId="0C2D19A0">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eastAsia="宋体" w:cs="Open Sans"/>
          <w:b/>
          <w:bCs/>
          <w:szCs w:val="24"/>
          <w:lang w:val="en-US" w:eastAsia="zh-CN"/>
        </w:rPr>
        <w:t>7. 保护范围与权利要求布局</w:t>
      </w:r>
    </w:p>
    <w:p w14:paraId="2151D534">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一种面向算力网跨域协同训练的隐私保护方法，包括本地训练、global Top-k稀疏化、固定公开CountSketch编码、一轮式安全Sketch聚合、聚合Sketch恢复和模型更新。</w:t>
      </w:r>
    </w:p>
    <w:p w14:paraId="6F629E9E">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一种固定公开Sketch layout构造方法，使Sketch长度由公开通信预算确定，而不随本轮单节点私有Top-k层分布变化。</w:t>
      </w:r>
    </w:p>
    <w:p w14:paraId="52981A69">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一种将本地Top-k坐标和值转化为固定长度Sketch以隐藏本地支持集的方法。</w:t>
      </w:r>
    </w:p>
    <w:p w14:paraId="0E1DD319">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一种单主协调服务器与动态门限辅助节点协同的安全Sketch聚合方法。</w:t>
      </w:r>
    </w:p>
    <w:p w14:paraId="18C69528">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一种active set构造和掉线处理方法，基于有效masked sketch和有效seed share确定本轮参与集合。</w:t>
      </w:r>
    </w:p>
    <w:p w14:paraId="2740069E">
      <w:pPr>
        <w:numPr>
          <w:ilvl w:val="0"/>
          <w:numId w:val="5"/>
        </w:numPr>
        <w:ind w:left="420" w:leftChars="0" w:hanging="420" w:firstLine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一种系统、设备和计算机可读存储介质，用于执行上述方法。</w:t>
      </w:r>
    </w:p>
    <w:p w14:paraId="4A9AC5F7">
      <w:pPr>
        <w:numPr>
          <w:ilvl w:val="0"/>
          <w:numId w:val="0"/>
        </w:numPr>
        <w:ind w:leftChars="0"/>
        <w:jc w:val="left"/>
        <w:rPr>
          <w:rFonts w:hint="eastAsia" w:ascii="Open Sans" w:hAnsi="Open Sans" w:eastAsia="宋体" w:cs="Open Sans"/>
          <w:szCs w:val="24"/>
          <w:lang w:val="en-US" w:eastAsia="zh-CN"/>
        </w:rPr>
      </w:pPr>
    </w:p>
    <w:p w14:paraId="2D7584FF">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cs="Open Sans"/>
          <w:b/>
          <w:bCs/>
          <w:szCs w:val="24"/>
          <w:lang w:val="en-US" w:eastAsia="zh-CN"/>
        </w:rPr>
        <w:t>8</w:t>
      </w:r>
      <w:r>
        <w:rPr>
          <w:rFonts w:hint="eastAsia" w:ascii="Open Sans" w:hAnsi="Open Sans" w:eastAsia="宋体" w:cs="Open Sans"/>
          <w:b/>
          <w:bCs/>
          <w:szCs w:val="24"/>
          <w:lang w:val="en-US" w:eastAsia="zh-CN"/>
        </w:rPr>
        <w:t>. 术语解释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0"/>
        <w:gridCol w:w="6418"/>
      </w:tblGrid>
      <w:tr w14:paraId="0F290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0" w:type="dxa"/>
            <w:shd w:val="clear" w:color="auto" w:fill="D9EAF7"/>
            <w:vAlign w:val="center"/>
          </w:tcPr>
          <w:p w14:paraId="27B210D6">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术语</w:t>
            </w:r>
          </w:p>
        </w:tc>
        <w:tc>
          <w:tcPr>
            <w:tcW w:w="6418" w:type="dxa"/>
            <w:shd w:val="clear" w:color="auto" w:fill="D9EAF7"/>
            <w:vAlign w:val="center"/>
          </w:tcPr>
          <w:p w14:paraId="606804FA">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含义</w:t>
            </w:r>
          </w:p>
        </w:tc>
      </w:tr>
      <w:tr w14:paraId="48DB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0" w:type="dxa"/>
            <w:vAlign w:val="center"/>
          </w:tcPr>
          <w:p w14:paraId="726D6C50">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算力网多数据中心跨域协同训练</w:t>
            </w:r>
          </w:p>
        </w:tc>
        <w:tc>
          <w:tcPr>
            <w:tcW w:w="6418" w:type="dxa"/>
            <w:vAlign w:val="center"/>
          </w:tcPr>
          <w:p w14:paraId="6FEDE183">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多个数据中心或智算节点在数据不出域前提下通过算力网调度共同训练模型</w:t>
            </w:r>
          </w:p>
        </w:tc>
      </w:tr>
      <w:tr w14:paraId="02E1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0" w:type="dxa"/>
            <w:vAlign w:val="center"/>
          </w:tcPr>
          <w:p w14:paraId="622DA0B6">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Global Top-k</w:t>
            </w:r>
          </w:p>
        </w:tc>
        <w:tc>
          <w:tcPr>
            <w:tcW w:w="6418" w:type="dxa"/>
            <w:vAlign w:val="center"/>
          </w:tcPr>
          <w:p w14:paraId="231424C2">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在全模型展平向量范围内选取幅值最大的k个更新坐标</w:t>
            </w:r>
          </w:p>
        </w:tc>
      </w:tr>
      <w:tr w14:paraId="31BE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0" w:type="dxa"/>
            <w:vAlign w:val="center"/>
          </w:tcPr>
          <w:p w14:paraId="46B846D6">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CountSketch</w:t>
            </w:r>
          </w:p>
        </w:tc>
        <w:tc>
          <w:tcPr>
            <w:tcW w:w="6418" w:type="dxa"/>
            <w:vAlign w:val="center"/>
          </w:tcPr>
          <w:p w14:paraId="4F3956E6">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使用bucket hash和sign hash将稀疏向量编码为固定长度线性Sketch的随机投影方法</w:t>
            </w:r>
          </w:p>
        </w:tc>
      </w:tr>
      <w:tr w14:paraId="496E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0" w:type="dxa"/>
            <w:vAlign w:val="center"/>
          </w:tcPr>
          <w:p w14:paraId="0D7AB089">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动态门限辅助节点</w:t>
            </w:r>
          </w:p>
        </w:tc>
        <w:tc>
          <w:tcPr>
            <w:tcW w:w="6418" w:type="dxa"/>
            <w:vAlign w:val="center"/>
          </w:tcPr>
          <w:p w14:paraId="4F233A16">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每轮动态选择的辅助节点，用于seed share、噪声份额和审计收据，不要求长期固定非合谋服务器</w:t>
            </w:r>
          </w:p>
        </w:tc>
      </w:tr>
      <w:tr w14:paraId="40A0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0" w:type="dxa"/>
            <w:vAlign w:val="center"/>
          </w:tcPr>
          <w:p w14:paraId="1DC75146">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Active set</w:t>
            </w:r>
          </w:p>
        </w:tc>
        <w:tc>
          <w:tcPr>
            <w:tcW w:w="6418" w:type="dxa"/>
            <w:vAlign w:val="center"/>
          </w:tcPr>
          <w:p w14:paraId="4A56DE5B">
            <w:pPr>
              <w:numPr>
                <w:ilvl w:val="0"/>
                <w:numId w:val="0"/>
              </w:numPr>
              <w:ind w:leftChars="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本轮同时具备有效masked sketch和足够seed share的计算节点集合</w:t>
            </w:r>
          </w:p>
        </w:tc>
      </w:tr>
    </w:tbl>
    <w:p w14:paraId="7F03AEF1">
      <w:pPr>
        <w:numPr>
          <w:ilvl w:val="0"/>
          <w:numId w:val="0"/>
        </w:numPr>
        <w:ind w:leftChars="0"/>
        <w:jc w:val="left"/>
        <w:rPr>
          <w:rFonts w:hint="eastAsia" w:ascii="Open Sans" w:hAnsi="Open Sans" w:eastAsia="宋体" w:cs="Open Sans"/>
          <w:b/>
          <w:bCs/>
          <w:szCs w:val="24"/>
          <w:lang w:val="en-US" w:eastAsia="zh-CN"/>
        </w:rPr>
      </w:pPr>
    </w:p>
    <w:p w14:paraId="63106EB5">
      <w:pPr>
        <w:numPr>
          <w:ilvl w:val="0"/>
          <w:numId w:val="0"/>
        </w:numPr>
        <w:ind w:leftChars="0"/>
        <w:jc w:val="left"/>
        <w:rPr>
          <w:rFonts w:hint="eastAsia" w:ascii="Open Sans" w:hAnsi="Open Sans" w:eastAsia="宋体" w:cs="Open Sans"/>
          <w:b/>
          <w:bCs/>
          <w:szCs w:val="24"/>
          <w:lang w:val="en-US" w:eastAsia="zh-CN"/>
        </w:rPr>
      </w:pPr>
      <w:r>
        <w:rPr>
          <w:rFonts w:hint="eastAsia" w:ascii="Open Sans" w:hAnsi="Open Sans" w:eastAsia="宋体" w:cs="Open Sans"/>
          <w:b/>
          <w:bCs/>
          <w:szCs w:val="24"/>
          <w:lang w:val="en-US" w:eastAsia="zh-CN"/>
        </w:rPr>
        <w:t>结论</w:t>
      </w:r>
    </w:p>
    <w:p w14:paraId="31F64AAF">
      <w:pPr>
        <w:numPr>
          <w:ilvl w:val="0"/>
          <w:numId w:val="0"/>
        </w:numPr>
        <w:ind w:leftChars="0" w:firstLine="480" w:firstLineChars="20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本发明针对算力网多数据中心跨域协同训练中计算节点不完全可信、多计算节点长期非合谋难以保证、节点动态参与和跨域通信受限等问题，提出了一种通信高效的隐私保护稀疏协同训练方案。方案以标准global Top-k保持训练效用，以固定公开CountSketch将本地稀疏更新转化为索引隐藏的固定长度表示，以一轮式安全聚合隐藏单节点Sketch，以active set适配动态节点与掉线。相较Clover类及DSPRF类依赖多个非合谋服务器的稀疏安全聚合方案，本发明不要求算力网中多个计算节点长期充当非合谋服务器，更适合统一调度、跨域部署和动态参与的算力网协同训练场景。相较全量稠密训练，本方案典型低通信配置可将主payload降至全量float32上传的约1.6%，约实现62倍通信压缩；相较全量float16上传约实现31倍通信压缩。</w:t>
      </w:r>
    </w:p>
    <w:p w14:paraId="02A71868">
      <w:pPr>
        <w:numPr>
          <w:ilvl w:val="0"/>
          <w:numId w:val="0"/>
        </w:numPr>
        <w:ind w:leftChars="0" w:firstLine="480" w:firstLineChars="200"/>
        <w:jc w:val="left"/>
        <w:rPr>
          <w:rFonts w:hint="eastAsia" w:ascii="Open Sans" w:hAnsi="Open Sans" w:eastAsia="宋体" w:cs="Open Sans"/>
          <w:szCs w:val="24"/>
          <w:lang w:val="en-US" w:eastAsia="zh-CN"/>
        </w:rPr>
      </w:pPr>
      <w:r>
        <w:rPr>
          <w:rFonts w:hint="eastAsia" w:ascii="Open Sans" w:hAnsi="Open Sans" w:eastAsia="宋体" w:cs="Open Sans"/>
          <w:szCs w:val="24"/>
          <w:lang w:val="en-US" w:eastAsia="zh-CN"/>
        </w:rPr>
        <w:t>因此，本发明在算力网跨域协同训练</w:t>
      </w:r>
      <w:bookmarkStart w:id="0" w:name="_GoBack"/>
      <w:bookmarkEnd w:id="0"/>
      <w:r>
        <w:rPr>
          <w:rFonts w:hint="eastAsia" w:ascii="Open Sans" w:hAnsi="Open Sans" w:eastAsia="宋体" w:cs="Open Sans"/>
          <w:szCs w:val="24"/>
          <w:lang w:val="en-US" w:eastAsia="zh-CN"/>
        </w:rPr>
        <w:t>场景下同时解决了本地Top-k索引/值泄露、多服务器非合谋假设难成立、节点动态掉线和跨域通信开销大的问题，具备明确的技术创新性和专利保护价值。</w:t>
      </w:r>
    </w:p>
    <w:sectPr>
      <w:headerReference r:id="rId5" w:type="default"/>
      <w:footerReference r:id="rId6" w:type="default"/>
      <w:pgSz w:w="11906" w:h="16838"/>
      <w:pgMar w:top="1417" w:right="1417" w:bottom="1417" w:left="1417" w:header="850" w:footer="964" w:gutter="0"/>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roma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Tahoma">
    <w:panose1 w:val="020B0604030504040204"/>
    <w:charset w:val="00"/>
    <w:family w:val="swiss"/>
    <w:pitch w:val="default"/>
    <w:sig w:usb0="E1002EFF" w:usb1="C000605B" w:usb2="00000029" w:usb3="00000000" w:csb0="200101FF" w:csb1="2028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Open Sans">
    <w:altName w:val="Times New Roman"/>
    <w:panose1 w:val="020B0606030504020204"/>
    <w:charset w:val="00"/>
    <w:family w:val="auto"/>
    <w:pitch w:val="default"/>
    <w:sig w:usb0="00000000" w:usb1="00000000" w:usb2="00000028"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58799">
    <w:pPr>
      <w:pStyle w:val="22"/>
      <w:tabs>
        <w:tab w:val="clear" w:pos="4153"/>
        <w:tab w:val="clear" w:pos="8306"/>
      </w:tabs>
      <w:rPr>
        <w:rFonts w:hint="eastAsia"/>
        <w:color w:val="000000"/>
        <w:sz w:val="16"/>
        <w:szCs w:val="16"/>
      </w:rPr>
    </w:pPr>
    <w:r>
      <w:rPr>
        <w:color w:val="000000"/>
        <w:sz w:val="16"/>
        <w:szCs w:val="16"/>
      </w:rPr>
      <mc:AlternateContent>
        <mc:Choice Requires="wps">
          <w:drawing>
            <wp:anchor distT="0" distB="0" distL="114300" distR="114300" simplePos="0" relativeHeight="251660288" behindDoc="0" locked="0" layoutInCell="1" allowOverlap="1">
              <wp:simplePos x="0" y="0"/>
              <wp:positionH relativeFrom="margin">
                <wp:posOffset>4834890</wp:posOffset>
              </wp:positionH>
              <wp:positionV relativeFrom="paragraph">
                <wp:posOffset>6350</wp:posOffset>
              </wp:positionV>
              <wp:extent cx="1828800" cy="1828800"/>
              <wp:effectExtent l="0" t="0" r="0" b="0"/>
              <wp:wrapNone/>
              <wp:docPr id="11" name="0000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5B79BE">
                          <w:pPr>
                            <w:pStyle w:val="22"/>
                            <w:tabs>
                              <w:tab w:val="clear" w:pos="4153"/>
                              <w:tab w:val="clear" w:pos="8306"/>
                            </w:tabs>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 共 </w:t>
                          </w:r>
                          <w:r>
                            <w:rPr>
                              <w:sz w:val="16"/>
                              <w:szCs w:val="16"/>
                            </w:rPr>
                            <w:fldChar w:fldCharType="begin"/>
                          </w:r>
                          <w:r>
                            <w:rPr>
                              <w:sz w:val="16"/>
                              <w:szCs w:val="16"/>
                            </w:rPr>
                            <w:instrText xml:space="preserve"> NUMPAGES  \* MERGEFORMAT </w:instrText>
                          </w:r>
                          <w:r>
                            <w:rPr>
                              <w:sz w:val="16"/>
                              <w:szCs w:val="16"/>
                            </w:rPr>
                            <w:fldChar w:fldCharType="separate"/>
                          </w:r>
                          <w:r>
                            <w:rPr>
                              <w:sz w:val="16"/>
                              <w:szCs w:val="16"/>
                            </w:rPr>
                            <w:t>1</w:t>
                          </w:r>
                          <w:r>
                            <w:rPr>
                              <w:sz w:val="16"/>
                              <w:szCs w:val="16"/>
                            </w:rPr>
                            <w:fldChar w:fldCharType="end"/>
                          </w:r>
                          <w:r>
                            <w:rPr>
                              <w:sz w:val="16"/>
                              <w:szCs w:val="16"/>
                            </w:rPr>
                            <w:t xml:space="preserve"> 页</w:t>
                          </w:r>
                        </w:p>
                        <w:p w14:paraId="0257AD6C"/>
                      </w:txbxContent>
                    </wps:txbx>
                    <wps:bodyPr wrap="none"/>
                  </wps:wsp>
                </a:graphicData>
              </a:graphic>
            </wp:anchor>
          </w:drawing>
        </mc:Choice>
        <mc:Fallback>
          <w:pict>
            <v:shape id="000054" o:spid="_x0000_s1026" o:spt="202" type="#_x0000_t202" style="position:absolute;left:0pt;margin-left:380.7pt;margin-top:0.5pt;height:144pt;width:144pt;mso-position-horizontal-relative:margin;mso-wrap-style:none;z-index:251660288;mso-width-relative:page;mso-height-relative:page;" filled="f" stroked="f" coordsize="21600,21600" o:gfxdata="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">
              <v:fill on="f" focussize="0,0"/>
              <v:stroke on="f"/>
              <v:imagedata o:title=""/>
              <o:lock v:ext="edit" aspectratio="f"/>
              <v:textbox>
                <w:txbxContent>
                  <w:p w14:paraId="465B79BE">
                    <w:pPr>
                      <w:pStyle w:val="22"/>
                      <w:tabs>
                        <w:tab w:val="clear" w:pos="4153"/>
                        <w:tab w:val="clear" w:pos="8306"/>
                      </w:tabs>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 共 </w:t>
                    </w:r>
                    <w:r>
                      <w:rPr>
                        <w:sz w:val="16"/>
                        <w:szCs w:val="16"/>
                      </w:rPr>
                      <w:fldChar w:fldCharType="begin"/>
                    </w:r>
                    <w:r>
                      <w:rPr>
                        <w:sz w:val="16"/>
                        <w:szCs w:val="16"/>
                      </w:rPr>
                      <w:instrText xml:space="preserve"> NUMPAGES  \* MERGEFORMAT </w:instrText>
                    </w:r>
                    <w:r>
                      <w:rPr>
                        <w:sz w:val="16"/>
                        <w:szCs w:val="16"/>
                      </w:rPr>
                      <w:fldChar w:fldCharType="separate"/>
                    </w:r>
                    <w:r>
                      <w:rPr>
                        <w:sz w:val="16"/>
                        <w:szCs w:val="16"/>
                      </w:rPr>
                      <w:t>1</w:t>
                    </w:r>
                    <w:r>
                      <w:rPr>
                        <w:sz w:val="16"/>
                        <w:szCs w:val="16"/>
                      </w:rPr>
                      <w:fldChar w:fldCharType="end"/>
                    </w:r>
                    <w:r>
                      <w:rPr>
                        <w:sz w:val="16"/>
                        <w:szCs w:val="16"/>
                      </w:rPr>
                      <w:t xml:space="preserve"> 页</w:t>
                    </w:r>
                  </w:p>
                  <w:p w14:paraId="0257AD6C"/>
                </w:txbxContent>
              </v:textbox>
            </v:shape>
          </w:pict>
        </mc:Fallback>
      </mc:AlternateContent>
    </w:r>
    <w:r>
      <w:rPr>
        <w:rFonts w:hint="eastAsia"/>
        <w:color w:val="000000"/>
        <w:sz w:val="16"/>
        <w:szCs w:val="16"/>
      </w:rPr>
      <w:t xml:space="preserve">网址：www.hcipi.com         </w:t>
    </w:r>
    <w:r>
      <w:rPr>
        <w:rFonts w:hint="eastAsia"/>
        <w:color w:val="000000"/>
        <w:sz w:val="16"/>
        <w:szCs w:val="16"/>
        <w:lang w:val="en-US" w:eastAsia="zh-CN"/>
      </w:rPr>
      <w:t xml:space="preserve">                   </w:t>
    </w:r>
    <w:r>
      <w:rPr>
        <w:rFonts w:hint="eastAsia"/>
        <w:color w:val="000000"/>
        <w:sz w:val="16"/>
        <w:szCs w:val="16"/>
      </w:rPr>
      <w:t>电话：</w:t>
    </w:r>
    <w:r>
      <w:rPr>
        <w:rFonts w:hint="eastAsia" w:eastAsia="宋体" w:cs="Times New Roman"/>
        <w:color w:val="000000"/>
        <w:sz w:val="16"/>
        <w:szCs w:val="16"/>
      </w:rPr>
      <w:t>400-138-1688</w:t>
    </w:r>
    <w:r>
      <w:rPr>
        <w:rFonts w:hint="eastAsia" w:eastAsia="宋体" w:cs="Times New Roman"/>
        <w:color w:val="000000"/>
        <w:sz w:val="16"/>
        <w:szCs w:val="16"/>
        <w:lang w:val="en-US" w:eastAsia="zh-CN"/>
      </w:rPr>
      <w:t xml:space="preserve">  </w:t>
    </w:r>
    <w:r>
      <w:rPr>
        <w:rFonts w:hint="eastAsia"/>
        <w:color w:val="000000"/>
        <w:sz w:val="16"/>
        <w:szCs w:val="16"/>
      </w:rPr>
      <w:t xml:space="preserve">      </w:t>
    </w:r>
    <w:r>
      <w:rPr>
        <w:rFonts w:hint="eastAsia"/>
        <w:color w:val="000000"/>
        <w:sz w:val="16"/>
        <w:szCs w:val="16"/>
        <w:lang w:val="en-US"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66D0C">
    <w:pPr>
      <w:pStyle w:val="23"/>
      <w:pBdr>
        <w:bottom w:val="none" w:color="000000" w:sz="0" w:space="1"/>
      </w:pBdr>
      <w:tabs>
        <w:tab w:val="clear" w:pos="4153"/>
        <w:tab w:val="clear" w:pos="8306"/>
      </w:tabs>
      <w:spacing w:after="72" w:line="240" w:lineRule="auto"/>
      <w:jc w:val="right"/>
      <w:rPr>
        <w:color w:val="7F7F7F"/>
      </w:rPr>
    </w:pPr>
    <w:r>
      <w:rPr>
        <w:sz w:val="18"/>
      </w:rPr>
      <mc:AlternateContent>
        <mc:Choice Requires="wps">
          <w:drawing>
            <wp:anchor distT="0" distB="0" distL="114300" distR="114300" simplePos="0" relativeHeight="251660288" behindDoc="0" locked="0" layoutInCell="1" allowOverlap="1">
              <wp:simplePos x="0" y="0"/>
              <wp:positionH relativeFrom="column">
                <wp:posOffset>1664335</wp:posOffset>
              </wp:positionH>
              <wp:positionV relativeFrom="paragraph">
                <wp:posOffset>153035</wp:posOffset>
              </wp:positionV>
              <wp:extent cx="4164965" cy="238760"/>
              <wp:effectExtent l="0" t="0" r="0" b="0"/>
              <wp:wrapNone/>
              <wp:docPr id="2" name="000053"/>
              <wp:cNvGraphicFramePr/>
              <a:graphic xmlns:a="http://schemas.openxmlformats.org/drawingml/2006/main">
                <a:graphicData uri="http://schemas.microsoft.com/office/word/2010/wordprocessingShape">
                  <wps:wsp>
                    <wps:cNvSpPr txBox="1"/>
                    <wps:spPr>
                      <a:xfrm>
                        <a:off x="0" y="0"/>
                        <a:ext cx="4164965" cy="238760"/>
                      </a:xfrm>
                      <a:prstGeom prst="rect">
                        <a:avLst/>
                      </a:prstGeom>
                      <a:noFill/>
                      <a:ln>
                        <a:noFill/>
                      </a:ln>
                    </wps:spPr>
                    <wps:txbx>
                      <w:txbxContent>
                        <w:p w14:paraId="7D7BCCBB">
                          <w:pPr>
                            <w:jc w:val="right"/>
                            <w:rPr>
                              <w:rFonts w:hint="eastAsia" w:eastAsia="宋体" w:cs="Times New Roman"/>
                              <w:b w:val="0"/>
                              <w:bCs w:val="0"/>
                              <w:color w:val="595959"/>
                              <w:sz w:val="15"/>
                              <w:szCs w:val="15"/>
                            </w:rPr>
                          </w:pPr>
                          <w:r>
                            <w:rPr>
                              <w:rFonts w:hint="eastAsia" w:eastAsia="宋体" w:cs="Times New Roman"/>
                              <w:b w:val="0"/>
                              <w:bCs w:val="0"/>
                              <w:color w:val="595959"/>
                              <w:sz w:val="16"/>
                              <w:szCs w:val="16"/>
                            </w:rPr>
                            <w:t xml:space="preserve">知识产权 | </w:t>
                          </w:r>
                          <w:r>
                            <w:rPr>
                              <w:rFonts w:hint="eastAsia" w:eastAsia="宋体" w:cs="Times New Roman"/>
                              <w:b w:val="0"/>
                              <w:bCs w:val="0"/>
                              <w:color w:val="595959"/>
                              <w:sz w:val="16"/>
                              <w:szCs w:val="16"/>
                              <w:lang w:val="en-US" w:eastAsia="zh-CN"/>
                            </w:rPr>
                            <w:t>政策服务</w:t>
                          </w:r>
                          <w:r>
                            <w:rPr>
                              <w:rFonts w:hint="eastAsia" w:eastAsia="宋体" w:cs="Times New Roman"/>
                              <w:b w:val="0"/>
                              <w:bCs w:val="0"/>
                              <w:color w:val="595959"/>
                              <w:sz w:val="16"/>
                              <w:szCs w:val="16"/>
                            </w:rPr>
                            <w:t xml:space="preserve"> | </w:t>
                          </w:r>
                          <w:r>
                            <w:rPr>
                              <w:rFonts w:hint="eastAsia" w:eastAsia="宋体" w:cs="Times New Roman"/>
                              <w:b w:val="0"/>
                              <w:bCs w:val="0"/>
                              <w:color w:val="595959"/>
                              <w:sz w:val="16"/>
                              <w:szCs w:val="16"/>
                              <w:lang w:val="en-US" w:eastAsia="zh-CN"/>
                            </w:rPr>
                            <w:t>法律服务</w:t>
                          </w:r>
                          <w:r>
                            <w:rPr>
                              <w:rFonts w:hint="eastAsia" w:eastAsia="宋体" w:cs="Times New Roman"/>
                              <w:b w:val="0"/>
                              <w:bCs w:val="0"/>
                              <w:color w:val="595959"/>
                              <w:sz w:val="16"/>
                              <w:szCs w:val="16"/>
                            </w:rPr>
                            <w:t xml:space="preserve"> | </w:t>
                          </w:r>
                          <w:r>
                            <w:rPr>
                              <w:rFonts w:hint="eastAsia" w:eastAsia="宋体" w:cs="Times New Roman"/>
                              <w:b w:val="0"/>
                              <w:bCs w:val="0"/>
                              <w:color w:val="595959"/>
                              <w:sz w:val="16"/>
                              <w:szCs w:val="16"/>
                              <w:lang w:eastAsia="zh-CN"/>
                            </w:rPr>
                            <w:t>高端咨询</w:t>
                          </w:r>
                          <w:r>
                            <w:rPr>
                              <w:rFonts w:hint="eastAsia" w:eastAsia="宋体" w:cs="Times New Roman"/>
                              <w:b w:val="0"/>
                              <w:bCs w:val="0"/>
                              <w:color w:val="595959"/>
                              <w:sz w:val="16"/>
                              <w:szCs w:val="16"/>
                            </w:rPr>
                            <w:t xml:space="preserve"> | </w:t>
                          </w:r>
                          <w:r>
                            <w:rPr>
                              <w:rFonts w:hint="eastAsia" w:eastAsia="宋体" w:cs="Times New Roman"/>
                              <w:b w:val="0"/>
                              <w:bCs w:val="0"/>
                              <w:color w:val="595959"/>
                              <w:sz w:val="16"/>
                              <w:szCs w:val="16"/>
                              <w:lang w:val="en-US" w:eastAsia="zh-CN"/>
                            </w:rPr>
                            <w:t>IP运营与服务</w:t>
                          </w:r>
                          <w:r>
                            <w:rPr>
                              <w:rFonts w:hint="eastAsia" w:eastAsia="宋体" w:cs="Times New Roman"/>
                              <w:b w:val="0"/>
                              <w:bCs w:val="0"/>
                              <w:color w:val="595959"/>
                              <w:sz w:val="16"/>
                              <w:szCs w:val="16"/>
                            </w:rPr>
                            <w:t xml:space="preserve">  </w:t>
                          </w:r>
                        </w:p>
                        <w:p w14:paraId="248342F3">
                          <w:pPr>
                            <w:rPr>
                              <w:rFonts w:hint="eastAsia"/>
                            </w:rPr>
                          </w:pPr>
                        </w:p>
                        <w:p w14:paraId="7D3404D6"/>
                      </w:txbxContent>
                    </wps:txbx>
                    <wps:bodyPr wrap="square"/>
                  </wps:wsp>
                </a:graphicData>
              </a:graphic>
            </wp:anchor>
          </w:drawing>
        </mc:Choice>
        <mc:Fallback>
          <w:pict>
            <v:shape id="000053" o:spid="_x0000_s1026" o:spt="202" type="#_x0000_t202" style="position:absolute;left:0pt;margin-left:131.05pt;margin-top:12.05pt;height:18.8pt;width:327.95pt;z-index:251660288;mso-width-relative:page;mso-height-relative:page;" filled="f" stroked="f" coordsize="21600,21600" o:gfxdata="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g7zFl9YAAAAJAQAADwAAAAAAAAAB&#10;ACAAAAAiAAAAZHJzL2Rvd25yZXYueG1sUEsBAhQAFAAAAAgAh07iQGuOYXagAQAASwMAAA4AAAAA&#10;AAAAAQAgAAAAJQEAAGRycy9lMm9Eb2MueG1sUEsFBgAAAAAGAAYAWQEAADcFAAAAAA==&#10;">
              <v:fill on="f" focussize="0,0"/>
              <v:stroke on="f"/>
              <v:imagedata o:title=""/>
              <o:lock v:ext="edit" aspectratio="f"/>
              <v:textbox>
                <w:txbxContent>
                  <w:p w14:paraId="7D7BCCBB">
                    <w:pPr>
                      <w:jc w:val="right"/>
                      <w:rPr>
                        <w:rFonts w:hint="eastAsia" w:eastAsia="宋体" w:cs="Times New Roman"/>
                        <w:b w:val="0"/>
                        <w:bCs w:val="0"/>
                        <w:color w:val="595959"/>
                        <w:sz w:val="15"/>
                        <w:szCs w:val="15"/>
                      </w:rPr>
                    </w:pPr>
                    <w:r>
                      <w:rPr>
                        <w:rFonts w:hint="eastAsia" w:eastAsia="宋体" w:cs="Times New Roman"/>
                        <w:b w:val="0"/>
                        <w:bCs w:val="0"/>
                        <w:color w:val="595959"/>
                        <w:sz w:val="16"/>
                        <w:szCs w:val="16"/>
                      </w:rPr>
                      <w:t xml:space="preserve">知识产权 | </w:t>
                    </w:r>
                    <w:r>
                      <w:rPr>
                        <w:rFonts w:hint="eastAsia" w:eastAsia="宋体" w:cs="Times New Roman"/>
                        <w:b w:val="0"/>
                        <w:bCs w:val="0"/>
                        <w:color w:val="595959"/>
                        <w:sz w:val="16"/>
                        <w:szCs w:val="16"/>
                        <w:lang w:val="en-US" w:eastAsia="zh-CN"/>
                      </w:rPr>
                      <w:t>政策服务</w:t>
                    </w:r>
                    <w:r>
                      <w:rPr>
                        <w:rFonts w:hint="eastAsia" w:eastAsia="宋体" w:cs="Times New Roman"/>
                        <w:b w:val="0"/>
                        <w:bCs w:val="0"/>
                        <w:color w:val="595959"/>
                        <w:sz w:val="16"/>
                        <w:szCs w:val="16"/>
                      </w:rPr>
                      <w:t xml:space="preserve"> | </w:t>
                    </w:r>
                    <w:r>
                      <w:rPr>
                        <w:rFonts w:hint="eastAsia" w:eastAsia="宋体" w:cs="Times New Roman"/>
                        <w:b w:val="0"/>
                        <w:bCs w:val="0"/>
                        <w:color w:val="595959"/>
                        <w:sz w:val="16"/>
                        <w:szCs w:val="16"/>
                        <w:lang w:val="en-US" w:eastAsia="zh-CN"/>
                      </w:rPr>
                      <w:t>法律服务</w:t>
                    </w:r>
                    <w:r>
                      <w:rPr>
                        <w:rFonts w:hint="eastAsia" w:eastAsia="宋体" w:cs="Times New Roman"/>
                        <w:b w:val="0"/>
                        <w:bCs w:val="0"/>
                        <w:color w:val="595959"/>
                        <w:sz w:val="16"/>
                        <w:szCs w:val="16"/>
                      </w:rPr>
                      <w:t xml:space="preserve"> | </w:t>
                    </w:r>
                    <w:r>
                      <w:rPr>
                        <w:rFonts w:hint="eastAsia" w:eastAsia="宋体" w:cs="Times New Roman"/>
                        <w:b w:val="0"/>
                        <w:bCs w:val="0"/>
                        <w:color w:val="595959"/>
                        <w:sz w:val="16"/>
                        <w:szCs w:val="16"/>
                        <w:lang w:eastAsia="zh-CN"/>
                      </w:rPr>
                      <w:t>高端咨询</w:t>
                    </w:r>
                    <w:r>
                      <w:rPr>
                        <w:rFonts w:hint="eastAsia" w:eastAsia="宋体" w:cs="Times New Roman"/>
                        <w:b w:val="0"/>
                        <w:bCs w:val="0"/>
                        <w:color w:val="595959"/>
                        <w:sz w:val="16"/>
                        <w:szCs w:val="16"/>
                      </w:rPr>
                      <w:t xml:space="preserve"> | </w:t>
                    </w:r>
                    <w:r>
                      <w:rPr>
                        <w:rFonts w:hint="eastAsia" w:eastAsia="宋体" w:cs="Times New Roman"/>
                        <w:b w:val="0"/>
                        <w:bCs w:val="0"/>
                        <w:color w:val="595959"/>
                        <w:sz w:val="16"/>
                        <w:szCs w:val="16"/>
                        <w:lang w:val="en-US" w:eastAsia="zh-CN"/>
                      </w:rPr>
                      <w:t>IP运营与服务</w:t>
                    </w:r>
                    <w:r>
                      <w:rPr>
                        <w:rFonts w:hint="eastAsia" w:eastAsia="宋体" w:cs="Times New Roman"/>
                        <w:b w:val="0"/>
                        <w:bCs w:val="0"/>
                        <w:color w:val="595959"/>
                        <w:sz w:val="16"/>
                        <w:szCs w:val="16"/>
                      </w:rPr>
                      <w:t xml:space="preserve">  </w:t>
                    </w:r>
                  </w:p>
                  <w:p w14:paraId="248342F3">
                    <w:pPr>
                      <w:rPr>
                        <w:rFonts w:hint="eastAsia"/>
                      </w:rPr>
                    </w:pPr>
                  </w:p>
                  <w:p w14:paraId="7D3404D6"/>
                </w:txbxContent>
              </v:textbox>
            </v:shape>
          </w:pict>
        </mc:Fallback>
      </mc:AlternateContent>
    </w:r>
    <w:r>
      <w:rPr>
        <w:sz w:val="18"/>
      </w:rPr>
      <w:drawing>
        <wp:anchor distT="0" distB="0" distL="114300" distR="114300" simplePos="0" relativeHeight="251660288" behindDoc="0" locked="0" layoutInCell="1" allowOverlap="1">
          <wp:simplePos x="0" y="0"/>
          <wp:positionH relativeFrom="column">
            <wp:posOffset>-31750</wp:posOffset>
          </wp:positionH>
          <wp:positionV relativeFrom="paragraph">
            <wp:posOffset>-125095</wp:posOffset>
          </wp:positionV>
          <wp:extent cx="1539240" cy="525780"/>
          <wp:effectExtent l="0" t="0" r="3810" b="0"/>
          <wp:wrapNone/>
          <wp:docPr id="4" name="_x0000_s2114"/>
          <wp:cNvGraphicFramePr/>
          <a:graphic xmlns:a="http://schemas.openxmlformats.org/drawingml/2006/main">
            <a:graphicData uri="http://schemas.openxmlformats.org/drawingml/2006/picture">
              <pic:pic xmlns:pic="http://schemas.openxmlformats.org/drawingml/2006/picture">
                <pic:nvPicPr>
                  <pic:cNvPr id="4" name="_x0000_s2114"/>
                  <pic:cNvPicPr/>
                </pic:nvPicPr>
                <pic:blipFill>
                  <a:blip r:embed="rId1" cstate="print"/>
                  <a:stretch>
                    <a:fillRect/>
                  </a:stretch>
                </pic:blipFill>
                <pic:spPr>
                  <a:xfrm>
                    <a:off x="0" y="0"/>
                    <a:ext cx="1539240" cy="525780"/>
                  </a:xfrm>
                  <a:prstGeom prst="rect">
                    <a:avLst/>
                  </a:prstGeom>
                  <a:noFill/>
                  <a:ln>
                    <a:noFill/>
                  </a:ln>
                </pic:spPr>
              </pic:pic>
            </a:graphicData>
          </a:graphic>
        </wp:anchor>
      </w:drawing>
    </w:r>
    <w:r>
      <w:rPr>
        <w:sz w:val="18"/>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353060</wp:posOffset>
              </wp:positionV>
              <wp:extent cx="5721350" cy="635"/>
              <wp:effectExtent l="0" t="0" r="0" b="0"/>
              <wp:wrapNone/>
              <wp:docPr id="7" name="_x0000_s2112"/>
              <wp:cNvGraphicFramePr/>
              <a:graphic xmlns:a="http://schemas.openxmlformats.org/drawingml/2006/main">
                <a:graphicData uri="http://schemas.microsoft.com/office/word/2010/wordprocessingShape">
                  <wps:wsp>
                    <wps:cNvCnPr/>
                    <wps:spPr>
                      <a:xfrm>
                        <a:off x="0" y="0"/>
                        <a:ext cx="5721350" cy="635"/>
                      </a:xfrm>
                      <a:prstGeom prst="line">
                        <a:avLst/>
                      </a:prstGeom>
                      <a:noFill/>
                      <a:ln>
                        <a:noFill/>
                      </a:ln>
                    </wps:spPr>
                    <wps:bodyPr wrap="square"/>
                  </wps:wsp>
                </a:graphicData>
              </a:graphic>
            </wp:anchor>
          </w:drawing>
        </mc:Choice>
        <mc:Fallback>
          <w:pict>
            <v:line id="_x0000_s2112" o:spid="_x0000_s1026" o:spt="20" style="position:absolute;left:0pt;margin-left:1.5pt;margin-top:27.8pt;height:0.05pt;width:450.5pt;z-index:251660288;mso-width-relative:page;mso-height-relative:page;" filled="f" stroked="f" coordsize="21600,21600" o:gfxdata="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&#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">
              <v:fill on="f" focussize="0,0"/>
              <v:stroke on="f"/>
              <v:imagedata o:title=""/>
              <o:lock v:ext="edit" aspectratio="f"/>
            </v:line>
          </w:pict>
        </mc:Fallback>
      </mc:AlternateContent>
    </w:r>
    <w:r>
      <w:rPr>
        <w:sz w:val="18"/>
      </w:rPr>
      <mc:AlternateContent>
        <mc:Choice Requires="wps">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1189990" cy="6268085"/>
              <wp:effectExtent l="0" t="0" r="0" b="0"/>
              <wp:wrapNone/>
              <wp:docPr id="9" name="_x0000_s2115"/>
              <wp:cNvGraphicFramePr/>
              <a:graphic xmlns:a="http://schemas.openxmlformats.org/drawingml/2006/main">
                <a:graphicData uri="http://schemas.microsoft.com/office/word/2010/wordprocessingShape">
                  <wps:wsp>
                    <wps:cNvSpPr txBox="1"/>
                    <wps:spPr>
                      <a:xfrm>
                        <a:off x="0" y="0"/>
                        <a:ext cx="1189990" cy="6268085"/>
                      </a:xfrm>
                      <a:prstGeom prst="rect">
                        <a:avLst/>
                      </a:prstGeom>
                    </wps:spPr>
                    <wps:txbx>
                      <w:txbxContent>
                        <w:p w14:paraId="05BBF74D">
                          <w:pPr>
                            <w:jc w:val="center"/>
                          </w:pPr>
                          <w:r>
                            <w:rPr>
                              <w:rFonts w:ascii="仿宋"/>
                              <w:color w:val="C0C0C0"/>
                            </w:rPr>
                            <w:t>恒程创新服务</w:t>
                          </w:r>
                        </w:p>
                      </w:txbxContent>
                    </wps:txbx>
                    <wps:bodyPr wrap="square" lIns="0" tIns="0" rIns="0" bIns="0">
                      <a:prstTxWarp prst="textPlain">
                        <a:avLst/>
                      </a:prstTxWarp>
                    </wps:bodyPr>
                  </wps:wsp>
                </a:graphicData>
              </a:graphic>
            </wp:anchor>
          </w:drawing>
        </mc:Choice>
        <mc:Fallback>
          <w:pict>
            <v:shape id="_x0000_s2115" o:spid="_x0000_s1026" o:spt="202" type="#_x0000_t202" style="position:absolute;left:0pt;height:493.55pt;width:93.7pt;mso-position-horizontal:center;mso-position-horizontal-relative:margin;mso-position-vertical:center;mso-position-vertical-relative:margin;z-index:-251657216;mso-width-relative:page;mso-height-relative:page;" filled="f" stroked="f" coordsize="21600,21600" o:gfxdata="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eN71ItYAAAAFAQAADwAAAAAAAAABACAAAAAiAAAAZHJzL2Rvd25yZXYueG1sUEsBAhQA&#10;FAAAAAgAh07iQOaEpn+7AQAAlwMAAA4AAAAAAAAAAQAgAAAAJQEAAGRycy9lMm9Eb2MueG1sUEsF&#10;BgAAAAAGAAYAWQEAAFIFAAAAAA==&#10;">
              <v:fill on="f" focussize="0,0"/>
              <v:stroke on="f"/>
              <v:imagedata o:title=""/>
              <o:lock v:ext="edit" aspectratio="f"/>
              <v:textbox inset="0mm,0mm,0mm,0mm">
                <w:txbxContent>
                  <w:p w14:paraId="05BBF74D">
                    <w:pPr>
                      <w:jc w:val="center"/>
                    </w:pPr>
                    <w:r>
                      <w:rPr>
                        <w:rFonts w:ascii="仿宋"/>
                        <w:color w:val="C0C0C0"/>
                      </w:rPr>
                      <w:t>恒程创新服务</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896F6D"/>
    <w:multiLevelType w:val="singleLevel"/>
    <w:tmpl w:val="B5896F6D"/>
    <w:lvl w:ilvl="0" w:tentative="0">
      <w:start w:val="1"/>
      <w:numFmt w:val="bullet"/>
      <w:lvlText w:val=""/>
      <w:lvlJc w:val="left"/>
      <w:pPr>
        <w:ind w:left="420" w:hanging="420"/>
      </w:pPr>
      <w:rPr>
        <w:rFonts w:hint="default" w:ascii="Wingdings" w:hAnsi="Wingdings"/>
      </w:rPr>
    </w:lvl>
  </w:abstractNum>
  <w:abstractNum w:abstractNumId="1">
    <w:nsid w:val="DD025BB4"/>
    <w:multiLevelType w:val="singleLevel"/>
    <w:tmpl w:val="DD025BB4"/>
    <w:lvl w:ilvl="0" w:tentative="0">
      <w:start w:val="1"/>
      <w:numFmt w:val="decimal"/>
      <w:pStyle w:val="9"/>
      <w:lvlText w:val="%1."/>
      <w:lvlJc w:val="left"/>
      <w:pPr>
        <w:tabs>
          <w:tab w:val="left" w:pos="360"/>
        </w:tabs>
        <w:ind w:left="360" w:hanging="360"/>
      </w:pPr>
    </w:lvl>
  </w:abstractNum>
  <w:abstractNum w:abstractNumId="2">
    <w:nsid w:val="00A8F97F"/>
    <w:multiLevelType w:val="singleLevel"/>
    <w:tmpl w:val="00A8F97F"/>
    <w:lvl w:ilvl="0" w:tentative="0">
      <w:start w:val="1"/>
      <w:numFmt w:val="bullet"/>
      <w:pStyle w:val="12"/>
      <w:lvlText w:val=""/>
      <w:lvlJc w:val="left"/>
      <w:pPr>
        <w:tabs>
          <w:tab w:val="left" w:pos="360"/>
        </w:tabs>
        <w:ind w:left="360" w:hanging="360"/>
      </w:pPr>
      <w:rPr>
        <w:rFonts w:hint="default" w:ascii="Wingdings" w:hAnsi="Wingdings"/>
      </w:rPr>
    </w:lvl>
  </w:abstractNum>
  <w:abstractNum w:abstractNumId="3">
    <w:nsid w:val="2798265A"/>
    <w:multiLevelType w:val="multilevel"/>
    <w:tmpl w:val="2798265A"/>
    <w:lvl w:ilvl="0" w:tentative="0">
      <w:start w:val="1"/>
      <w:numFmt w:val="decimal"/>
      <w:lvlText w:val="%1．"/>
      <w:lvlJc w:val="left"/>
      <w:pPr>
        <w:tabs>
          <w:tab w:val="left" w:pos="360"/>
        </w:tabs>
        <w:ind w:left="360" w:hanging="360"/>
      </w:pPr>
      <w:rPr>
        <w:rFonts w:ascii="Times New Roman" w:hAnsi="Times New Roman" w:cs="Times New Roman"/>
      </w:rPr>
    </w:lvl>
    <w:lvl w:ilvl="1" w:tentative="0">
      <w:start w:val="1"/>
      <w:numFmt w:val="decimal"/>
      <w:lvlText w:val="%2)"/>
      <w:lvlJc w:val="left"/>
      <w:pPr>
        <w:tabs>
          <w:tab w:val="left" w:pos="840"/>
        </w:tabs>
        <w:ind w:left="840" w:hanging="420"/>
      </w:pPr>
      <w:rPr>
        <w:color w:val="000000"/>
      </w:rPr>
    </w:lvl>
    <w:lvl w:ilvl="2" w:tentative="0">
      <w:start w:val="1"/>
      <w:numFmt w:val="bullet"/>
      <w:pStyle w:val="65"/>
      <w:lvlText w:val=""/>
      <w:lvlJc w:val="left"/>
      <w:pPr>
        <w:tabs>
          <w:tab w:val="left" w:pos="1260"/>
        </w:tabs>
        <w:ind w:left="1260" w:hanging="420"/>
      </w:pPr>
      <w:rPr>
        <w:rFonts w:ascii="Wingdings" w:hAnsi="Wingdings"/>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51207A39"/>
    <w:multiLevelType w:val="multilevel"/>
    <w:tmpl w:val="51207A39"/>
    <w:lvl w:ilvl="0" w:tentative="0">
      <w:start w:val="1"/>
      <w:numFmt w:val="chineseCountingThousand"/>
      <w:pStyle w:val="2"/>
      <w:lvlText w:val="%1."/>
      <w:lvlJc w:val="left"/>
      <w:pPr>
        <w:ind w:left="5246" w:hanging="425"/>
      </w:pPr>
      <w:rPr>
        <w:rFonts w:hint="eastAsia"/>
        <w:b/>
        <w:color w:val="000000"/>
        <w:sz w:val="30"/>
        <w:szCs w:val="30"/>
      </w:rPr>
    </w:lvl>
    <w:lvl w:ilvl="1" w:tentative="0">
      <w:start w:val="1"/>
      <w:numFmt w:val="decimal"/>
      <w:pStyle w:val="3"/>
      <w:lvlText w:val="%2."/>
      <w:lvlJc w:val="left"/>
      <w:pPr>
        <w:ind w:left="425" w:hanging="425"/>
      </w:pPr>
      <w:rPr>
        <w:rFonts w:hint="eastAsia"/>
        <w:sz w:val="28"/>
        <w:szCs w:val="24"/>
      </w:rPr>
    </w:lvl>
    <w:lvl w:ilvl="2" w:tentative="0">
      <w:start w:val="1"/>
      <w:numFmt w:val="decimal"/>
      <w:pStyle w:val="4"/>
      <w:lvlText w:val="%2.%3."/>
      <w:lvlJc w:val="left"/>
      <w:pPr>
        <w:ind w:left="425" w:hanging="425"/>
      </w:pPr>
      <w:rPr>
        <w:rFonts w:ascii="宋体" w:hAnsi="宋体" w:eastAsia="宋体"/>
      </w:rPr>
    </w:lvl>
    <w:lvl w:ilvl="3" w:tentative="0">
      <w:start w:val="1"/>
      <w:numFmt w:val="decimal"/>
      <w:pStyle w:val="5"/>
      <w:lvlText w:val="%2.%3.%4."/>
      <w:lvlJc w:val="left"/>
      <w:pPr>
        <w:ind w:left="425" w:hanging="425"/>
      </w:pPr>
      <w:rPr>
        <w:rFonts w:hint="eastAsia"/>
        <w:b/>
      </w:rPr>
    </w:lvl>
    <w:lvl w:ilvl="4" w:tentative="0">
      <w:start w:val="1"/>
      <w:numFmt w:val="decimal"/>
      <w:pStyle w:val="6"/>
      <w:lvlText w:val="%2.%3.%4.%5."/>
      <w:lvlJc w:val="left"/>
      <w:pPr>
        <w:ind w:left="425" w:hanging="425"/>
      </w:pPr>
      <w:rPr>
        <w:rFonts w:hint="eastAsia"/>
      </w:rPr>
    </w:lvl>
    <w:lvl w:ilvl="5" w:tentative="0">
      <w:start w:val="1"/>
      <w:numFmt w:val="decimal"/>
      <w:pStyle w:val="7"/>
      <w:lvlText w:val="%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420"/>
  <w:displayHorizontalDrawingGridEvery w:val="1"/>
  <w:displayVerticalDrawingGridEvery w:val="1"/>
  <w:noPunctuationKerning w:val="1"/>
  <w:characterSpacingControl w:val="compressPunctuation"/>
  <w:footnotePr>
    <w:footnote w:id="0"/>
    <w:footnote w:id="1"/>
  </w:footnotePr>
  <w:endnotePr>
    <w:endnote w:id="0"/>
    <w:endnote w:id="1"/>
  </w:endnotePr>
  <w:compat>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46ABB"/>
    <w:rsid w:val="06B84C89"/>
    <w:rsid w:val="097F5E9A"/>
    <w:rsid w:val="09C21178"/>
    <w:rsid w:val="0A3C5552"/>
    <w:rsid w:val="0A560605"/>
    <w:rsid w:val="0A9663B5"/>
    <w:rsid w:val="0A9B41BF"/>
    <w:rsid w:val="0B3A4F7C"/>
    <w:rsid w:val="0C5B0625"/>
    <w:rsid w:val="0CE735B6"/>
    <w:rsid w:val="0D30732F"/>
    <w:rsid w:val="0EA0228A"/>
    <w:rsid w:val="0F077051"/>
    <w:rsid w:val="0FB72FF6"/>
    <w:rsid w:val="11661C3E"/>
    <w:rsid w:val="117D6F8D"/>
    <w:rsid w:val="143D2A0A"/>
    <w:rsid w:val="14585A1F"/>
    <w:rsid w:val="14B33947"/>
    <w:rsid w:val="152C211F"/>
    <w:rsid w:val="154A459A"/>
    <w:rsid w:val="1599799A"/>
    <w:rsid w:val="15B545AB"/>
    <w:rsid w:val="15D232F3"/>
    <w:rsid w:val="15E26E3F"/>
    <w:rsid w:val="16B66740"/>
    <w:rsid w:val="171B06C1"/>
    <w:rsid w:val="176F6453"/>
    <w:rsid w:val="18511A82"/>
    <w:rsid w:val="18E97382"/>
    <w:rsid w:val="19C63CB3"/>
    <w:rsid w:val="1AF50492"/>
    <w:rsid w:val="1B80784E"/>
    <w:rsid w:val="1BFE2DFC"/>
    <w:rsid w:val="1DC317C9"/>
    <w:rsid w:val="1DF20D5A"/>
    <w:rsid w:val="1FC47FE0"/>
    <w:rsid w:val="23B93C52"/>
    <w:rsid w:val="24304A8D"/>
    <w:rsid w:val="2E643881"/>
    <w:rsid w:val="2F9A23CF"/>
    <w:rsid w:val="39AE5204"/>
    <w:rsid w:val="3A9B44DE"/>
    <w:rsid w:val="3D3872AB"/>
    <w:rsid w:val="3D3E5FF8"/>
    <w:rsid w:val="3D8C3E49"/>
    <w:rsid w:val="3E7D132C"/>
    <w:rsid w:val="3E9E014B"/>
    <w:rsid w:val="3F6E3B5B"/>
    <w:rsid w:val="3FEF23B5"/>
    <w:rsid w:val="41793A79"/>
    <w:rsid w:val="47F34F38"/>
    <w:rsid w:val="48E14227"/>
    <w:rsid w:val="48EC744C"/>
    <w:rsid w:val="4AFA142F"/>
    <w:rsid w:val="4B7C51F0"/>
    <w:rsid w:val="4CE24C24"/>
    <w:rsid w:val="51E72485"/>
    <w:rsid w:val="56BE6E4B"/>
    <w:rsid w:val="573C440F"/>
    <w:rsid w:val="5A876CE0"/>
    <w:rsid w:val="5ACD1001"/>
    <w:rsid w:val="5C29540E"/>
    <w:rsid w:val="5D1B5F6F"/>
    <w:rsid w:val="5DB72040"/>
    <w:rsid w:val="5DC12874"/>
    <w:rsid w:val="5DC457E7"/>
    <w:rsid w:val="5E9A7A70"/>
    <w:rsid w:val="63695E51"/>
    <w:rsid w:val="66B94E75"/>
    <w:rsid w:val="66DC3CCA"/>
    <w:rsid w:val="66F0158B"/>
    <w:rsid w:val="67FA254F"/>
    <w:rsid w:val="6873289B"/>
    <w:rsid w:val="6A8E45BC"/>
    <w:rsid w:val="6ACA3A8C"/>
    <w:rsid w:val="6AEC117F"/>
    <w:rsid w:val="6BD040E2"/>
    <w:rsid w:val="6C537AB1"/>
    <w:rsid w:val="6EAC1926"/>
    <w:rsid w:val="6EEB5F6B"/>
    <w:rsid w:val="6F4F4E72"/>
    <w:rsid w:val="71014ECA"/>
    <w:rsid w:val="71777D9E"/>
    <w:rsid w:val="71A54D33"/>
    <w:rsid w:val="751D5F3B"/>
    <w:rsid w:val="75F91E5D"/>
    <w:rsid w:val="77C33D3D"/>
    <w:rsid w:val="786F38B1"/>
    <w:rsid w:val="7DBF283E"/>
    <w:rsid w:val="7DE0456D"/>
    <w:rsid w:val="7E234DB8"/>
    <w:rsid w:val="7E6815D7"/>
    <w:rsid w:val="7F3038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68"/>
    <w:qFormat/>
    <w:uiPriority w:val="0"/>
    <w:pPr>
      <w:widowControl w:val="0"/>
      <w:spacing w:line="360" w:lineRule="auto"/>
      <w:jc w:val="both"/>
    </w:pPr>
    <w:rPr>
      <w:rFonts w:ascii="宋体" w:hAnsi="宋体" w:eastAsia="宋体" w:cs="Times New Roman"/>
      <w:kern w:val="2"/>
      <w:sz w:val="24"/>
      <w:szCs w:val="21"/>
      <w:lang w:val="en-US" w:eastAsia="zh-CN" w:bidi="ar-SA"/>
    </w:rPr>
  </w:style>
  <w:style w:type="paragraph" w:styleId="2">
    <w:name w:val="heading 1"/>
    <w:basedOn w:val="1"/>
    <w:next w:val="1"/>
    <w:link w:val="72"/>
    <w:qFormat/>
    <w:uiPriority w:val="0"/>
    <w:pPr>
      <w:keepNext/>
      <w:keepLines/>
      <w:numPr>
        <w:ilvl w:val="0"/>
        <w:numId w:val="1"/>
      </w:numPr>
      <w:ind w:left="425"/>
      <w:jc w:val="left"/>
      <w:outlineLvl w:val="0"/>
    </w:pPr>
    <w:rPr>
      <w:rFonts w:eastAsia="宋体"/>
      <w:b/>
      <w:bCs/>
      <w:kern w:val="44"/>
      <w:sz w:val="30"/>
      <w:szCs w:val="44"/>
    </w:rPr>
  </w:style>
  <w:style w:type="paragraph" w:styleId="3">
    <w:name w:val="heading 2"/>
    <w:basedOn w:val="1"/>
    <w:next w:val="1"/>
    <w:link w:val="60"/>
    <w:qFormat/>
    <w:uiPriority w:val="0"/>
    <w:pPr>
      <w:keepNext/>
      <w:keepLines/>
      <w:numPr>
        <w:ilvl w:val="1"/>
        <w:numId w:val="1"/>
      </w:numPr>
      <w:jc w:val="left"/>
      <w:outlineLvl w:val="1"/>
    </w:pPr>
    <w:rPr>
      <w:rFonts w:ascii="宋体" w:hAnsi="宋体"/>
      <w:b/>
      <w:bCs/>
      <w:sz w:val="28"/>
      <w:szCs w:val="32"/>
    </w:rPr>
  </w:style>
  <w:style w:type="paragraph" w:styleId="4">
    <w:name w:val="heading 3"/>
    <w:basedOn w:val="1"/>
    <w:next w:val="1"/>
    <w:link w:val="66"/>
    <w:qFormat/>
    <w:uiPriority w:val="0"/>
    <w:pPr>
      <w:keepNext/>
      <w:keepLines/>
      <w:numPr>
        <w:ilvl w:val="2"/>
        <w:numId w:val="1"/>
      </w:numPr>
      <w:outlineLvl w:val="2"/>
    </w:pPr>
    <w:rPr>
      <w:rFonts w:ascii="宋体" w:hAnsi="宋体"/>
      <w:b/>
      <w:bCs/>
      <w:szCs w:val="32"/>
    </w:rPr>
  </w:style>
  <w:style w:type="paragraph" w:styleId="5">
    <w:name w:val="heading 4"/>
    <w:basedOn w:val="1"/>
    <w:next w:val="1"/>
    <w:link w:val="43"/>
    <w:qFormat/>
    <w:uiPriority w:val="0"/>
    <w:pPr>
      <w:keepNext/>
      <w:keepLines/>
      <w:numPr>
        <w:ilvl w:val="3"/>
        <w:numId w:val="1"/>
      </w:numPr>
      <w:jc w:val="left"/>
      <w:outlineLvl w:val="3"/>
    </w:pPr>
    <w:rPr>
      <w:rFonts w:ascii="宋体" w:hAnsi="宋体" w:cs="Times New Roman"/>
      <w:b/>
      <w:bCs/>
      <w:szCs w:val="28"/>
    </w:rPr>
  </w:style>
  <w:style w:type="paragraph" w:styleId="6">
    <w:name w:val="heading 5"/>
    <w:basedOn w:val="1"/>
    <w:next w:val="1"/>
    <w:link w:val="39"/>
    <w:qFormat/>
    <w:uiPriority w:val="0"/>
    <w:pPr>
      <w:keepNext/>
      <w:keepLines/>
      <w:numPr>
        <w:ilvl w:val="4"/>
        <w:numId w:val="1"/>
      </w:numPr>
      <w:jc w:val="left"/>
      <w:outlineLvl w:val="4"/>
    </w:pPr>
    <w:rPr>
      <w:rFonts w:ascii="宋体" w:hAnsi="宋体"/>
      <w:b/>
      <w:bCs/>
      <w:szCs w:val="28"/>
    </w:rPr>
  </w:style>
  <w:style w:type="paragraph" w:styleId="7">
    <w:name w:val="heading 6"/>
    <w:basedOn w:val="1"/>
    <w:next w:val="1"/>
    <w:link w:val="71"/>
    <w:qFormat/>
    <w:uiPriority w:val="0"/>
    <w:pPr>
      <w:keepNext/>
      <w:keepLines/>
      <w:numPr>
        <w:ilvl w:val="5"/>
        <w:numId w:val="1"/>
      </w:numPr>
      <w:ind w:left="0" w:firstLine="0"/>
      <w:jc w:val="left"/>
      <w:outlineLvl w:val="5"/>
    </w:pPr>
    <w:rPr>
      <w:rFonts w:ascii="宋体" w:hAnsi="宋体" w:cs="Times New Roman"/>
      <w:b/>
      <w:bCs/>
    </w:rPr>
  </w:style>
  <w:style w:type="character" w:default="1" w:styleId="34">
    <w:name w:val="Default Paragraph Font"/>
    <w:semiHidden/>
    <w:qFormat/>
    <w:uiPriority w:val="0"/>
  </w:style>
  <w:style w:type="table" w:default="1" w:styleId="32">
    <w:name w:val="Normal Table"/>
    <w:semiHidden/>
    <w:qFormat/>
    <w:uiPriority w:val="0"/>
    <w:tblPr>
      <w:tblCellMar>
        <w:top w:w="0" w:type="dxa"/>
        <w:left w:w="108" w:type="dxa"/>
        <w:bottom w:w="0" w:type="dxa"/>
        <w:right w:w="108" w:type="dxa"/>
      </w:tblCellMar>
    </w:tblPr>
  </w:style>
  <w:style w:type="paragraph" w:styleId="8">
    <w:name w:val="toc 7"/>
    <w:basedOn w:val="1"/>
    <w:next w:val="1"/>
    <w:qFormat/>
    <w:uiPriority w:val="0"/>
    <w:pPr>
      <w:spacing w:line="240" w:lineRule="auto"/>
      <w:ind w:left="2520" w:leftChars="1200"/>
    </w:pPr>
    <w:rPr>
      <w:rFonts w:ascii="等线" w:hAnsi="等线" w:eastAsia="等线" w:cs="Times New Roman"/>
      <w:sz w:val="21"/>
      <w:szCs w:val="22"/>
    </w:rPr>
  </w:style>
  <w:style w:type="paragraph" w:styleId="9">
    <w:name w:val="List Number"/>
    <w:basedOn w:val="1"/>
    <w:qFormat/>
    <w:uiPriority w:val="0"/>
    <w:pPr>
      <w:numPr>
        <w:ilvl w:val="0"/>
        <w:numId w:val="2"/>
      </w:numPr>
    </w:pPr>
  </w:style>
  <w:style w:type="paragraph" w:styleId="10">
    <w:name w:val="Normal Indent"/>
    <w:basedOn w:val="1"/>
    <w:qFormat/>
    <w:uiPriority w:val="0"/>
    <w:pPr>
      <w:ind w:firstLine="420" w:firstLineChars="200"/>
    </w:pPr>
  </w:style>
  <w:style w:type="paragraph" w:styleId="11">
    <w:name w:val="caption"/>
    <w:basedOn w:val="1"/>
    <w:next w:val="1"/>
    <w:qFormat/>
    <w:uiPriority w:val="0"/>
    <w:rPr>
      <w:rFonts w:ascii="Arial" w:hAnsi="Arial" w:eastAsia="黑体" w:cs="Arial"/>
      <w:sz w:val="20"/>
      <w:szCs w:val="20"/>
    </w:rPr>
  </w:style>
  <w:style w:type="paragraph" w:styleId="12">
    <w:name w:val="List Bullet"/>
    <w:basedOn w:val="1"/>
    <w:qFormat/>
    <w:uiPriority w:val="0"/>
    <w:pPr>
      <w:numPr>
        <w:ilvl w:val="0"/>
        <w:numId w:val="3"/>
      </w:numPr>
    </w:pPr>
  </w:style>
  <w:style w:type="paragraph" w:styleId="13">
    <w:name w:val="annotation text"/>
    <w:basedOn w:val="1"/>
    <w:link w:val="70"/>
    <w:qFormat/>
    <w:uiPriority w:val="0"/>
    <w:pPr>
      <w:jc w:val="left"/>
    </w:pPr>
  </w:style>
  <w:style w:type="paragraph" w:styleId="14">
    <w:name w:val="Body Text"/>
    <w:basedOn w:val="1"/>
    <w:link w:val="64"/>
    <w:qFormat/>
    <w:uiPriority w:val="0"/>
    <w:pPr>
      <w:spacing w:after="120"/>
    </w:pPr>
  </w:style>
  <w:style w:type="paragraph" w:styleId="15">
    <w:name w:val="Body Text Indent"/>
    <w:basedOn w:val="1"/>
    <w:qFormat/>
    <w:uiPriority w:val="0"/>
    <w:pPr>
      <w:ind w:firstLine="830" w:firstLineChars="352"/>
    </w:pPr>
    <w:rPr>
      <w:rFonts w:ascii="仿宋_GB2312" w:eastAsia="仿宋_GB2312"/>
      <w:sz w:val="32"/>
      <w:szCs w:val="20"/>
    </w:rPr>
  </w:style>
  <w:style w:type="paragraph" w:styleId="16">
    <w:name w:val="toc 5"/>
    <w:basedOn w:val="1"/>
    <w:next w:val="1"/>
    <w:qFormat/>
    <w:uiPriority w:val="0"/>
    <w:pPr>
      <w:spacing w:line="240" w:lineRule="auto"/>
      <w:ind w:left="1680" w:leftChars="800"/>
    </w:pPr>
    <w:rPr>
      <w:rFonts w:ascii="等线" w:hAnsi="等线" w:eastAsia="等线" w:cs="Times New Roman"/>
      <w:sz w:val="21"/>
      <w:szCs w:val="22"/>
    </w:rPr>
  </w:style>
  <w:style w:type="paragraph" w:styleId="17">
    <w:name w:val="toc 3"/>
    <w:basedOn w:val="1"/>
    <w:next w:val="1"/>
    <w:qFormat/>
    <w:uiPriority w:val="0"/>
    <w:pPr>
      <w:ind w:left="840" w:leftChars="400"/>
    </w:pPr>
  </w:style>
  <w:style w:type="paragraph" w:styleId="18">
    <w:name w:val="Plain Text"/>
    <w:basedOn w:val="1"/>
    <w:link w:val="61"/>
    <w:qFormat/>
    <w:uiPriority w:val="0"/>
    <w:rPr>
      <w:rFonts w:ascii="宋体" w:hAnsi="Courier New"/>
      <w:szCs w:val="21"/>
    </w:rPr>
  </w:style>
  <w:style w:type="paragraph" w:styleId="19">
    <w:name w:val="toc 8"/>
    <w:basedOn w:val="1"/>
    <w:next w:val="1"/>
    <w:qFormat/>
    <w:uiPriority w:val="0"/>
    <w:pPr>
      <w:spacing w:line="240" w:lineRule="auto"/>
      <w:ind w:left="2940" w:leftChars="1400"/>
    </w:pPr>
    <w:rPr>
      <w:rFonts w:ascii="等线" w:hAnsi="等线" w:eastAsia="等线" w:cs="Times New Roman"/>
      <w:sz w:val="21"/>
      <w:szCs w:val="22"/>
    </w:rPr>
  </w:style>
  <w:style w:type="paragraph" w:styleId="20">
    <w:name w:val="Date"/>
    <w:basedOn w:val="1"/>
    <w:next w:val="1"/>
    <w:link w:val="69"/>
    <w:qFormat/>
    <w:uiPriority w:val="0"/>
    <w:pPr>
      <w:spacing w:line="240" w:lineRule="auto"/>
      <w:ind w:left="100" w:leftChars="2500"/>
    </w:pPr>
    <w:rPr>
      <w:rFonts w:ascii="Calibri" w:hAnsi="Calibri" w:eastAsia="仿宋" w:cs="Times New Roman"/>
      <w:sz w:val="21"/>
    </w:rPr>
  </w:style>
  <w:style w:type="paragraph" w:styleId="21">
    <w:name w:val="Balloon Text"/>
    <w:basedOn w:val="1"/>
    <w:link w:val="63"/>
    <w:qFormat/>
    <w:uiPriority w:val="0"/>
    <w:pPr>
      <w:spacing w:line="240" w:lineRule="auto"/>
    </w:pPr>
    <w:rPr>
      <w:sz w:val="18"/>
      <w:szCs w:val="18"/>
    </w:rPr>
  </w:style>
  <w:style w:type="paragraph" w:styleId="22">
    <w:name w:val="footer"/>
    <w:basedOn w:val="1"/>
    <w:link w:val="53"/>
    <w:qFormat/>
    <w:uiPriority w:val="0"/>
    <w:pPr>
      <w:tabs>
        <w:tab w:val="center" w:pos="4153"/>
        <w:tab w:val="right" w:pos="8306"/>
      </w:tabs>
      <w:jc w:val="left"/>
    </w:pPr>
    <w:rPr>
      <w:sz w:val="18"/>
      <w:szCs w:val="18"/>
    </w:rPr>
  </w:style>
  <w:style w:type="paragraph" w:styleId="23">
    <w:name w:val="header"/>
    <w:basedOn w:val="1"/>
    <w:link w:val="49"/>
    <w:unhideWhenUsed/>
    <w:qFormat/>
    <w:uiPriority w:val="99"/>
    <w:pPr>
      <w:pBdr>
        <w:bottom w:val="single" w:color="000000" w:sz="6" w:space="1"/>
      </w:pBdr>
      <w:tabs>
        <w:tab w:val="center" w:pos="4153"/>
        <w:tab w:val="right" w:pos="8306"/>
      </w:tabs>
      <w:jc w:val="center"/>
    </w:pPr>
    <w:rPr>
      <w:sz w:val="18"/>
      <w:szCs w:val="18"/>
    </w:rPr>
  </w:style>
  <w:style w:type="paragraph" w:styleId="24">
    <w:name w:val="toc 1"/>
    <w:basedOn w:val="1"/>
    <w:next w:val="1"/>
    <w:qFormat/>
    <w:uiPriority w:val="0"/>
  </w:style>
  <w:style w:type="paragraph" w:styleId="25">
    <w:name w:val="toc 4"/>
    <w:basedOn w:val="1"/>
    <w:next w:val="1"/>
    <w:qFormat/>
    <w:uiPriority w:val="0"/>
    <w:pPr>
      <w:spacing w:line="240" w:lineRule="auto"/>
      <w:ind w:left="1260" w:leftChars="600"/>
    </w:pPr>
    <w:rPr>
      <w:rFonts w:ascii="等线" w:hAnsi="等线" w:eastAsia="等线" w:cs="Times New Roman"/>
      <w:sz w:val="21"/>
      <w:szCs w:val="22"/>
    </w:rPr>
  </w:style>
  <w:style w:type="paragraph" w:styleId="26">
    <w:name w:val="toc 6"/>
    <w:basedOn w:val="1"/>
    <w:next w:val="1"/>
    <w:qFormat/>
    <w:uiPriority w:val="0"/>
    <w:pPr>
      <w:spacing w:line="240" w:lineRule="auto"/>
      <w:ind w:left="2100" w:leftChars="1000"/>
    </w:pPr>
    <w:rPr>
      <w:rFonts w:ascii="等线" w:hAnsi="等线" w:eastAsia="等线" w:cs="Times New Roman"/>
      <w:sz w:val="21"/>
      <w:szCs w:val="22"/>
    </w:rPr>
  </w:style>
  <w:style w:type="paragraph" w:styleId="27">
    <w:name w:val="toc 2"/>
    <w:basedOn w:val="1"/>
    <w:next w:val="1"/>
    <w:qFormat/>
    <w:uiPriority w:val="0"/>
    <w:pPr>
      <w:ind w:left="210"/>
      <w:jc w:val="left"/>
    </w:pPr>
    <w:rPr>
      <w:smallCaps/>
      <w:sz w:val="20"/>
      <w:szCs w:val="20"/>
    </w:rPr>
  </w:style>
  <w:style w:type="paragraph" w:styleId="28">
    <w:name w:val="toc 9"/>
    <w:basedOn w:val="1"/>
    <w:next w:val="1"/>
    <w:qFormat/>
    <w:uiPriority w:val="0"/>
    <w:pPr>
      <w:spacing w:line="240" w:lineRule="auto"/>
      <w:ind w:left="3360" w:leftChars="1600"/>
    </w:pPr>
    <w:rPr>
      <w:rFonts w:ascii="等线" w:hAnsi="等线" w:eastAsia="等线" w:cs="Times New Roman"/>
      <w:sz w:val="21"/>
      <w:szCs w:val="22"/>
    </w:rPr>
  </w:style>
  <w:style w:type="paragraph" w:styleId="29">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0">
    <w:name w:val="annotation subject"/>
    <w:basedOn w:val="13"/>
    <w:next w:val="13"/>
    <w:link w:val="57"/>
    <w:qFormat/>
    <w:uiPriority w:val="0"/>
    <w:rPr>
      <w:b/>
      <w:bCs/>
    </w:rPr>
  </w:style>
  <w:style w:type="paragraph" w:styleId="31">
    <w:name w:val="Body Text First Indent 2"/>
    <w:basedOn w:val="15"/>
    <w:qFormat/>
    <w:uiPriority w:val="0"/>
    <w:pPr>
      <w:ind w:firstLine="420" w:firstLineChars="200"/>
    </w:pPr>
  </w:style>
  <w:style w:type="table" w:styleId="33">
    <w:name w:val="Table Grid"/>
    <w:basedOn w:val="3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Hyperlink"/>
    <w:qFormat/>
    <w:uiPriority w:val="0"/>
    <w:rPr>
      <w:color w:val="0000FF"/>
      <w:u w:val="single"/>
    </w:rPr>
  </w:style>
  <w:style w:type="character" w:styleId="36">
    <w:name w:val="annotation reference"/>
    <w:link w:val="1"/>
    <w:qFormat/>
    <w:uiPriority w:val="0"/>
    <w:rPr>
      <w:sz w:val="21"/>
      <w:szCs w:val="21"/>
    </w:rPr>
  </w:style>
  <w:style w:type="paragraph" w:customStyle="1" w:styleId="37">
    <w:name w:val="正文，首行缩进"/>
    <w:basedOn w:val="14"/>
    <w:next w:val="10"/>
    <w:qFormat/>
    <w:uiPriority w:val="0"/>
    <w:pPr>
      <w:widowControl/>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after="0" w:line="360" w:lineRule="auto"/>
      <w:ind w:firstLine="24"/>
      <w:jc w:val="left"/>
    </w:pPr>
    <w:rPr>
      <w:rFonts w:ascii="仿宋_GB2312" w:hAnsi="新宋体" w:eastAsia="仿宋_GB2312"/>
      <w:kern w:val="0"/>
      <w:sz w:val="28"/>
      <w:szCs w:val="28"/>
      <w:lang w:val="de-DE"/>
    </w:rPr>
  </w:style>
  <w:style w:type="paragraph" w:customStyle="1" w:styleId="38">
    <w:name w:val="et5"/>
    <w:basedOn w:val="1"/>
    <w:qFormat/>
    <w:uiPriority w:val="0"/>
    <w:pPr>
      <w:widowControl/>
      <w:spacing w:before="100" w:beforeAutospacing="1" w:after="100" w:afterAutospacing="1" w:line="240" w:lineRule="auto"/>
      <w:jc w:val="left"/>
    </w:pPr>
    <w:rPr>
      <w:rFonts w:ascii="宋体" w:hAnsi="宋体" w:cs="宋体"/>
      <w:color w:val="000000"/>
      <w:kern w:val="0"/>
      <w:sz w:val="22"/>
      <w:szCs w:val="22"/>
    </w:rPr>
  </w:style>
  <w:style w:type="character" w:customStyle="1" w:styleId="39">
    <w:name w:val="标题 5 Char"/>
    <w:link w:val="6"/>
    <w:qFormat/>
    <w:uiPriority w:val="0"/>
    <w:rPr>
      <w:rFonts w:ascii="宋体" w:hAnsi="宋体"/>
      <w:b/>
      <w:bCs/>
      <w:kern w:val="2"/>
      <w:sz w:val="24"/>
      <w:szCs w:val="28"/>
    </w:rPr>
  </w:style>
  <w:style w:type="paragraph" w:customStyle="1" w:styleId="40">
    <w:name w:val="Normal1"/>
    <w:qFormat/>
    <w:uiPriority w:val="0"/>
    <w:pPr>
      <w:jc w:val="both"/>
    </w:pPr>
    <w:rPr>
      <w:rFonts w:ascii="宋体" w:hAnsi="宋体" w:eastAsia="宋体" w:cs="Times New Roman"/>
      <w:kern w:val="2"/>
      <w:sz w:val="24"/>
      <w:szCs w:val="21"/>
      <w:lang w:val="en-US" w:eastAsia="zh-CN" w:bidi="ar-SA"/>
    </w:rPr>
  </w:style>
  <w:style w:type="character" w:customStyle="1" w:styleId="41">
    <w:name w:val="15"/>
    <w:qFormat/>
    <w:uiPriority w:val="0"/>
    <w:rPr>
      <w:rFonts w:ascii="Times New Roman" w:hAnsi="Times New Roman" w:cs="Times New Roman"/>
      <w:color w:val="0000FF"/>
      <w:u w:val="single"/>
    </w:rPr>
  </w:style>
  <w:style w:type="paragraph" w:customStyle="1" w:styleId="42">
    <w:name w:val="Default"/>
    <w:qFormat/>
    <w:uiPriority w:val="0"/>
    <w:pPr>
      <w:widowControl w:val="0"/>
      <w:autoSpaceDE w:val="0"/>
      <w:autoSpaceDN w:val="0"/>
    </w:pPr>
    <w:rPr>
      <w:rFonts w:ascii="宋体" w:hAnsi="Times New Roman" w:eastAsia="宋体" w:cs="宋体"/>
      <w:color w:val="000000"/>
      <w:sz w:val="24"/>
      <w:szCs w:val="24"/>
      <w:lang w:val="en-US" w:eastAsia="zh-CN" w:bidi="ar-SA"/>
    </w:rPr>
  </w:style>
  <w:style w:type="character" w:customStyle="1" w:styleId="43">
    <w:name w:val="标题 4 Char"/>
    <w:link w:val="5"/>
    <w:qFormat/>
    <w:uiPriority w:val="0"/>
    <w:rPr>
      <w:rFonts w:ascii="宋体" w:hAnsi="宋体"/>
      <w:b/>
      <w:bCs/>
      <w:kern w:val="2"/>
      <w:sz w:val="24"/>
      <w:szCs w:val="28"/>
    </w:rPr>
  </w:style>
  <w:style w:type="character" w:customStyle="1" w:styleId="44">
    <w:name w:val="标题 1 Char Char Char Char"/>
    <w:qFormat/>
    <w:uiPriority w:val="0"/>
    <w:rPr>
      <w:rFonts w:eastAsia="宋体"/>
      <w:b/>
      <w:bCs/>
      <w:kern w:val="44"/>
      <w:sz w:val="44"/>
      <w:szCs w:val="44"/>
      <w:lang w:val="en-US" w:eastAsia="zh-CN" w:bidi="ar-SA"/>
    </w:rPr>
  </w:style>
  <w:style w:type="character" w:customStyle="1" w:styleId="45">
    <w:name w:val="font31"/>
    <w:qFormat/>
    <w:uiPriority w:val="0"/>
    <w:rPr>
      <w:rFonts w:hint="eastAsia" w:ascii="宋体" w:hAnsi="宋体" w:eastAsia="宋体" w:cs="宋体"/>
      <w:color w:val="000000"/>
      <w:sz w:val="20"/>
      <w:szCs w:val="20"/>
      <w:u w:val="none"/>
    </w:rPr>
  </w:style>
  <w:style w:type="paragraph" w:customStyle="1" w:styleId="46">
    <w:name w:val="et6"/>
    <w:basedOn w:val="1"/>
    <w:qFormat/>
    <w:uiPriority w:val="0"/>
    <w:pPr>
      <w:widowControl/>
      <w:spacing w:before="100" w:beforeAutospacing="1" w:after="100" w:afterAutospacing="1" w:line="240" w:lineRule="auto"/>
      <w:jc w:val="left"/>
    </w:pPr>
    <w:rPr>
      <w:rFonts w:ascii="宋体" w:hAnsi="宋体" w:cs="宋体"/>
      <w:color w:val="000000"/>
      <w:kern w:val="0"/>
      <w:sz w:val="22"/>
      <w:szCs w:val="22"/>
    </w:rPr>
  </w:style>
  <w:style w:type="character" w:customStyle="1" w:styleId="47">
    <w:name w:val="未处理的提及"/>
    <w:unhideWhenUsed/>
    <w:qFormat/>
    <w:uiPriority w:val="99"/>
    <w:rPr>
      <w:color w:val="605E5C"/>
      <w:shd w:val="clear" w:color="auto" w:fill="E1DFDD"/>
    </w:rPr>
  </w:style>
  <w:style w:type="paragraph" w:customStyle="1" w:styleId="48">
    <w:name w:val="Char"/>
    <w:basedOn w:val="1"/>
    <w:qFormat/>
    <w:uiPriority w:val="0"/>
    <w:pPr>
      <w:spacing w:line="240" w:lineRule="auto"/>
    </w:pPr>
    <w:rPr>
      <w:rFonts w:ascii="Tahoma" w:hAnsi="Tahoma"/>
      <w:szCs w:val="20"/>
    </w:rPr>
  </w:style>
  <w:style w:type="character" w:customStyle="1" w:styleId="49">
    <w:name w:val="页眉 Char"/>
    <w:link w:val="23"/>
    <w:qFormat/>
    <w:uiPriority w:val="99"/>
    <w:rPr>
      <w:kern w:val="2"/>
      <w:sz w:val="18"/>
      <w:szCs w:val="18"/>
    </w:rPr>
  </w:style>
  <w:style w:type="paragraph" w:customStyle="1" w:styleId="50">
    <w:name w:val="正文 M"/>
    <w:basedOn w:val="1"/>
    <w:qFormat/>
    <w:uiPriority w:val="99"/>
    <w:pPr>
      <w:ind w:firstLine="200" w:firstLineChars="200"/>
    </w:pPr>
    <w:rPr>
      <w:rFonts w:ascii="Times New Roman" w:hAnsi="Times New Roman"/>
      <w:szCs w:val="24"/>
    </w:rPr>
  </w:style>
  <w:style w:type="paragraph" w:customStyle="1" w:styleId="51">
    <w:name w:val="6'"/>
    <w:basedOn w:val="1"/>
    <w:qFormat/>
    <w:uiPriority w:val="0"/>
    <w:pPr>
      <w:widowControl w:val="0"/>
      <w:autoSpaceDE w:val="0"/>
      <w:autoSpaceDN w:val="0"/>
      <w:spacing w:after="0" w:line="320" w:lineRule="exact"/>
      <w:jc w:val="center"/>
    </w:pPr>
    <w:rPr>
      <w:rFonts w:ascii="Times New Roman" w:hAnsi="Times New Roman" w:eastAsia="宋体" w:cs="Times New Roman"/>
      <w:spacing w:val="20"/>
      <w:kern w:val="28"/>
      <w:sz w:val="21"/>
      <w:szCs w:val="24"/>
    </w:rPr>
  </w:style>
  <w:style w:type="paragraph" w:customStyle="1" w:styleId="52">
    <w:name w:val="正文文本 (8)1"/>
    <w:basedOn w:val="1"/>
    <w:qFormat/>
    <w:uiPriority w:val="0"/>
    <w:pPr>
      <w:widowControl/>
      <w:shd w:val="clear" w:color="auto" w:fill="FFFFFF"/>
      <w:spacing w:line="240" w:lineRule="atLeast"/>
      <w:ind w:hanging="540"/>
      <w:jc w:val="left"/>
    </w:pPr>
    <w:rPr>
      <w:rFonts w:ascii="黑体" w:eastAsia="黑体" w:cs="黑体"/>
      <w:b/>
      <w:bCs/>
      <w:kern w:val="0"/>
      <w:sz w:val="24"/>
    </w:rPr>
  </w:style>
  <w:style w:type="character" w:customStyle="1" w:styleId="53">
    <w:name w:val="页脚 Char"/>
    <w:link w:val="22"/>
    <w:qFormat/>
    <w:uiPriority w:val="99"/>
    <w:rPr>
      <w:kern w:val="2"/>
      <w:sz w:val="18"/>
      <w:szCs w:val="18"/>
    </w:rPr>
  </w:style>
  <w:style w:type="paragraph" w:customStyle="1" w:styleId="54">
    <w:name w:val="列出段落"/>
    <w:basedOn w:val="1"/>
    <w:qFormat/>
    <w:uiPriority w:val="99"/>
    <w:pPr>
      <w:spacing w:line="240" w:lineRule="auto"/>
      <w:ind w:firstLine="420" w:firstLineChars="200"/>
    </w:pPr>
    <w:rPr>
      <w:rFonts w:ascii="Calibri" w:hAnsi="Calibri" w:eastAsia="仿宋" w:cs="Times New Roman"/>
      <w:sz w:val="21"/>
    </w:rPr>
  </w:style>
  <w:style w:type="paragraph" w:customStyle="1" w:styleId="55">
    <w:name w:val="msonormal"/>
    <w:basedOn w:val="1"/>
    <w:qFormat/>
    <w:uiPriority w:val="0"/>
    <w:pPr>
      <w:widowControl/>
      <w:spacing w:before="100" w:beforeAutospacing="1" w:after="100" w:afterAutospacing="1" w:line="240" w:lineRule="auto"/>
      <w:jc w:val="left"/>
    </w:pPr>
    <w:rPr>
      <w:rFonts w:ascii="宋体" w:hAnsi="宋体" w:cs="宋体"/>
      <w:kern w:val="0"/>
    </w:rPr>
  </w:style>
  <w:style w:type="paragraph" w:customStyle="1" w:styleId="56">
    <w:name w:val="样式2"/>
    <w:basedOn w:val="1"/>
    <w:qFormat/>
    <w:uiPriority w:val="0"/>
    <w:pPr>
      <w:spacing w:line="480" w:lineRule="exact"/>
      <w:ind w:firstLine="480" w:firstLineChars="200"/>
    </w:pPr>
    <w:rPr>
      <w:rFonts w:ascii="宋体" w:hAnsi="宋体"/>
      <w:b/>
      <w:kern w:val="0"/>
      <w:sz w:val="24"/>
    </w:rPr>
  </w:style>
  <w:style w:type="character" w:customStyle="1" w:styleId="57">
    <w:name w:val="批注主题 Char"/>
    <w:link w:val="30"/>
    <w:qFormat/>
    <w:uiPriority w:val="0"/>
    <w:rPr>
      <w:b/>
      <w:bCs/>
      <w:kern w:val="2"/>
      <w:sz w:val="24"/>
      <w:szCs w:val="24"/>
    </w:rPr>
  </w:style>
  <w:style w:type="paragraph" w:customStyle="1" w:styleId="58">
    <w:name w:val="et7"/>
    <w:basedOn w:val="1"/>
    <w:qFormat/>
    <w:uiPriority w:val="0"/>
    <w:pPr>
      <w:widowControl/>
      <w:spacing w:before="100" w:beforeAutospacing="1" w:after="100" w:afterAutospacing="1" w:line="240" w:lineRule="auto"/>
      <w:jc w:val="left"/>
    </w:pPr>
    <w:rPr>
      <w:rFonts w:ascii="宋体" w:hAnsi="宋体" w:cs="宋体"/>
      <w:color w:val="000000"/>
      <w:kern w:val="0"/>
      <w:sz w:val="22"/>
      <w:szCs w:val="22"/>
    </w:rPr>
  </w:style>
  <w:style w:type="character" w:customStyle="1" w:styleId="59">
    <w:name w:val="font11"/>
    <w:link w:val="1"/>
    <w:qFormat/>
    <w:uiPriority w:val="0"/>
    <w:rPr>
      <w:rFonts w:hint="eastAsia" w:ascii="华文楷体" w:hAnsi="华文楷体" w:eastAsia="华文楷体" w:cs="华文楷体"/>
      <w:color w:val="000000"/>
      <w:sz w:val="24"/>
      <w:szCs w:val="24"/>
      <w:u w:val="none"/>
    </w:rPr>
  </w:style>
  <w:style w:type="character" w:customStyle="1" w:styleId="60">
    <w:name w:val="标题 2 Char"/>
    <w:link w:val="3"/>
    <w:qFormat/>
    <w:uiPriority w:val="0"/>
    <w:rPr>
      <w:rFonts w:ascii="宋体" w:hAnsi="宋体"/>
      <w:b/>
      <w:bCs/>
      <w:kern w:val="2"/>
      <w:sz w:val="28"/>
      <w:szCs w:val="32"/>
    </w:rPr>
  </w:style>
  <w:style w:type="character" w:customStyle="1" w:styleId="61">
    <w:name w:val="纯文本 Char"/>
    <w:link w:val="18"/>
    <w:qFormat/>
    <w:locked/>
    <w:uiPriority w:val="99"/>
    <w:rPr>
      <w:rFonts w:ascii="宋体" w:hAnsi="Courier New" w:eastAsia="宋体"/>
      <w:kern w:val="2"/>
      <w:sz w:val="21"/>
      <w:szCs w:val="21"/>
      <w:lang w:val="en-US" w:eastAsia="zh-CN" w:bidi="ar-SA"/>
    </w:rPr>
  </w:style>
  <w:style w:type="character" w:customStyle="1" w:styleId="62">
    <w:name w:val="font41"/>
    <w:link w:val="1"/>
    <w:qFormat/>
    <w:uiPriority w:val="0"/>
    <w:rPr>
      <w:rFonts w:ascii="Segoe UI" w:hAnsi="Segoe UI" w:eastAsia="Segoe UI" w:cs="Segoe UI"/>
      <w:color w:val="000000"/>
      <w:sz w:val="22"/>
      <w:szCs w:val="22"/>
      <w:u w:val="none"/>
    </w:rPr>
  </w:style>
  <w:style w:type="character" w:customStyle="1" w:styleId="63">
    <w:name w:val="批注框文本 Char"/>
    <w:link w:val="21"/>
    <w:qFormat/>
    <w:uiPriority w:val="0"/>
    <w:rPr>
      <w:kern w:val="2"/>
      <w:sz w:val="18"/>
      <w:szCs w:val="18"/>
    </w:rPr>
  </w:style>
  <w:style w:type="character" w:customStyle="1" w:styleId="64">
    <w:name w:val="正文文本 Char"/>
    <w:link w:val="14"/>
    <w:qFormat/>
    <w:uiPriority w:val="0"/>
    <w:rPr>
      <w:rFonts w:eastAsia="宋体"/>
      <w:kern w:val="2"/>
      <w:sz w:val="21"/>
      <w:szCs w:val="24"/>
      <w:lang w:val="en-US" w:eastAsia="zh-CN" w:bidi="ar-SA"/>
    </w:rPr>
  </w:style>
  <w:style w:type="paragraph" w:customStyle="1" w:styleId="65">
    <w:name w:val="一级条标题"/>
    <w:basedOn w:val="1"/>
    <w:next w:val="1"/>
    <w:qFormat/>
    <w:uiPriority w:val="0"/>
    <w:pPr>
      <w:widowControl/>
      <w:numPr>
        <w:ilvl w:val="2"/>
        <w:numId w:val="4"/>
      </w:numPr>
      <w:tabs>
        <w:tab w:val="clear" w:pos="1260"/>
      </w:tabs>
      <w:outlineLvl w:val="2"/>
    </w:pPr>
    <w:rPr>
      <w:rFonts w:ascii="黑体" w:eastAsia="黑体"/>
      <w:kern w:val="0"/>
      <w:szCs w:val="20"/>
    </w:rPr>
  </w:style>
  <w:style w:type="character" w:customStyle="1" w:styleId="66">
    <w:name w:val="标题 3 Char"/>
    <w:link w:val="4"/>
    <w:qFormat/>
    <w:uiPriority w:val="0"/>
    <w:rPr>
      <w:b/>
      <w:sz w:val="30"/>
    </w:rPr>
  </w:style>
  <w:style w:type="character" w:customStyle="1" w:styleId="67">
    <w:name w:val="font51"/>
    <w:link w:val="1"/>
    <w:qFormat/>
    <w:uiPriority w:val="0"/>
    <w:rPr>
      <w:rFonts w:hint="eastAsia" w:ascii="宋体" w:hAnsi="宋体" w:eastAsia="宋体" w:cs="宋体"/>
      <w:color w:val="000000"/>
      <w:sz w:val="22"/>
      <w:szCs w:val="22"/>
      <w:u w:val="none"/>
    </w:rPr>
  </w:style>
  <w:style w:type="character" w:customStyle="1" w:styleId="68">
    <w:name w:val="不明显强调"/>
    <w:link w:val="1"/>
    <w:qFormat/>
    <w:uiPriority w:val="19"/>
    <w:rPr>
      <w:i/>
      <w:iCs/>
      <w:color w:val="404040"/>
    </w:rPr>
  </w:style>
  <w:style w:type="character" w:customStyle="1" w:styleId="69">
    <w:name w:val="日期 Char"/>
    <w:link w:val="20"/>
    <w:qFormat/>
    <w:uiPriority w:val="0"/>
    <w:rPr>
      <w:rFonts w:ascii="Calibri" w:hAnsi="Calibri" w:eastAsia="仿宋"/>
      <w:kern w:val="2"/>
      <w:sz w:val="21"/>
      <w:szCs w:val="24"/>
    </w:rPr>
  </w:style>
  <w:style w:type="character" w:customStyle="1" w:styleId="70">
    <w:name w:val="批注文字 Char"/>
    <w:link w:val="13"/>
    <w:qFormat/>
    <w:uiPriority w:val="0"/>
    <w:rPr>
      <w:kern w:val="2"/>
      <w:sz w:val="24"/>
      <w:szCs w:val="24"/>
    </w:rPr>
  </w:style>
  <w:style w:type="character" w:customStyle="1" w:styleId="71">
    <w:name w:val="标题 6 Char"/>
    <w:link w:val="7"/>
    <w:qFormat/>
    <w:uiPriority w:val="0"/>
    <w:rPr>
      <w:rFonts w:ascii="宋体" w:hAnsi="宋体"/>
      <w:b/>
      <w:bCs/>
      <w:kern w:val="2"/>
      <w:sz w:val="24"/>
      <w:szCs w:val="24"/>
    </w:rPr>
  </w:style>
  <w:style w:type="character" w:customStyle="1" w:styleId="72">
    <w:name w:val="标题 1 Char"/>
    <w:link w:val="2"/>
    <w:qFormat/>
    <w:locked/>
    <w:uiPriority w:val="0"/>
    <w:rPr>
      <w:rFonts w:ascii="宋体" w:hAnsi="宋体" w:eastAsia="宋体"/>
      <w:b/>
      <w:bCs/>
      <w:kern w:val="44"/>
      <w:sz w:val="30"/>
      <w:szCs w:val="44"/>
    </w:rPr>
  </w:style>
  <w:style w:type="paragraph" w:customStyle="1" w:styleId="73">
    <w:name w:val="段"/>
    <w:next w:val="1"/>
    <w:qFormat/>
    <w:uiPriority w:val="0"/>
    <w:pPr>
      <w:autoSpaceDE w:val="0"/>
      <w:autoSpaceDN w:val="0"/>
      <w:spacing w:line="360" w:lineRule="auto"/>
      <w:ind w:firstLine="200" w:firstLineChars="200"/>
      <w:jc w:val="both"/>
    </w:pPr>
    <w:rPr>
      <w:rFonts w:ascii="宋体" w:hAnsi="Calibri" w:eastAsia="宋体" w:cs="Times New Roman"/>
      <w:sz w:val="24"/>
      <w:szCs w:val="22"/>
      <w:lang w:val="en-US" w:eastAsia="zh-CN" w:bidi="ar-SA"/>
    </w:rPr>
  </w:style>
  <w:style w:type="paragraph" w:customStyle="1" w:styleId="74">
    <w:name w:val="列出段落11"/>
    <w:basedOn w:val="1"/>
    <w:qFormat/>
    <w:uiPriority w:val="34"/>
    <w:pPr>
      <w:spacing w:line="240" w:lineRule="auto"/>
      <w:ind w:firstLine="420" w:firstLineChars="200"/>
    </w:pPr>
    <w:rPr>
      <w:sz w:val="21"/>
    </w:rPr>
  </w:style>
  <w:style w:type="character" w:customStyle="1" w:styleId="75">
    <w:name w:val="标题 3 字符"/>
    <w:qFormat/>
    <w:uiPriority w:val="0"/>
    <w:rPr>
      <w:rFonts w:ascii="宋体" w:hAnsi="宋体"/>
      <w:b/>
      <w:bCs/>
      <w:kern w:val="2"/>
      <w:sz w:val="24"/>
      <w:szCs w:val="32"/>
    </w:rPr>
  </w:style>
  <w:style w:type="paragraph" w:customStyle="1" w:styleId="76">
    <w:name w:val="题注4"/>
    <w:basedOn w:val="1"/>
    <w:next w:val="11"/>
    <w:qFormat/>
    <w:uiPriority w:val="0"/>
    <w:pPr>
      <w:ind w:left="480" w:right="-108" w:hanging="540"/>
      <w:jc w:val="center"/>
    </w:pPr>
    <w:rPr>
      <w:b/>
      <w:bCs/>
      <w:color w:val="000000"/>
      <w:szCs w:val="21"/>
      <w:lang w:val="en-GB"/>
    </w:rPr>
  </w:style>
  <w:style w:type="paragraph" w:customStyle="1" w:styleId="77">
    <w:name w:val="p0"/>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6586</Words>
  <Characters>8408</Characters>
  <TotalTime>1317</TotalTime>
  <ScaleCrop>false</ScaleCrop>
  <LinksUpToDate>false</LinksUpToDate>
  <CharactersWithSpaces>8502</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2026-06-08T09:39:00Z</dcterms:created>
  <dc:creator>wujh</dc:creator>
  <cp:lastModifiedBy>Jiahui Wu</cp:lastModifiedBy>
  <dcterms:modified xsi:type="dcterms:W3CDTF">2026-08-11T08:56:33Z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eyJoZGlkIjoiZWQyMjEwYTM1ZWQzYmNhZTVhYTA3ZGQ5OGQ1Nzc4NDciLCJ1c2VySWQiOiIyMDA1MzkxNjEifQ==</vt:lpwstr>
  </property>
  <property fmtid="{D5CDD505-2E9C-101B-9397-08002B2CF9AE}" pid="3" name="KSOProductBuildVer">
    <vt:lpwstr>2052-12.1.0.22529</vt:lpwstr>
  </property>
  <property fmtid="{D5CDD505-2E9C-101B-9397-08002B2CF9AE}" pid="4" name="ICV">
    <vt:lpwstr>A9A56BBE7A0A43889AB494F15301CC56_13</vt:lpwstr>
  </property>
</Properties>
</file>