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516C53C1" w:rsidR="00532620" w:rsidRDefault="001256DA" w:rsidP="00532620">
      <w:pPr>
        <w:jc w:val="center"/>
        <w:rPr>
          <w:rFonts w:cs="Times New Roman"/>
          <w:b/>
          <w:caps/>
          <w:szCs w:val="20"/>
        </w:rPr>
      </w:pPr>
      <w:r>
        <w:rPr>
          <w:rFonts w:cs="Times New Roman"/>
          <w:b/>
          <w:caps/>
          <w:szCs w:val="20"/>
        </w:rPr>
        <w:t xml:space="preserve">imputing </w:t>
      </w:r>
      <w:r w:rsidR="001C6455">
        <w:rPr>
          <w:rFonts w:cs="Times New Roman"/>
          <w:b/>
          <w:caps/>
          <w:szCs w:val="20"/>
        </w:rPr>
        <w:t>stock-of-origin</w:t>
      </w:r>
      <w:r>
        <w:rPr>
          <w:rFonts w:cs="Times New Roman"/>
          <w:b/>
          <w:caps/>
          <w:szCs w:val="20"/>
        </w:rPr>
        <w:t xml:space="preserve"> </w:t>
      </w:r>
      <w:r w:rsidR="005C0AFC">
        <w:rPr>
          <w:rFonts w:cs="Times New Roman"/>
          <w:b/>
          <w:caps/>
          <w:szCs w:val="20"/>
        </w:rPr>
        <w:t>for electronic tags</w:t>
      </w:r>
      <w:r w:rsidR="006E4B5F">
        <w:rPr>
          <w:rFonts w:cs="Times New Roman"/>
          <w:b/>
          <w:caps/>
          <w:szCs w:val="20"/>
        </w:rPr>
        <w:t xml:space="preserve"> USING</w:t>
      </w:r>
      <w:r w:rsidR="00D3775F">
        <w:rPr>
          <w:rFonts w:cs="Times New Roman"/>
          <w:b/>
          <w:caps/>
          <w:szCs w:val="20"/>
        </w:rPr>
        <w:t xml:space="preserve"> stock-</w:t>
      </w:r>
      <w:r w:rsidR="003923A6">
        <w:rPr>
          <w:rFonts w:cs="Times New Roman"/>
          <w:b/>
          <w:caps/>
          <w:szCs w:val="20"/>
        </w:rPr>
        <w:t>specific movement</w:t>
      </w:r>
    </w:p>
    <w:p w14:paraId="62D0DA79" w14:textId="77777777" w:rsidR="00532620" w:rsidRPr="00532620" w:rsidRDefault="00532620" w:rsidP="00532620">
      <w:pPr>
        <w:jc w:val="center"/>
        <w:rPr>
          <w:rFonts w:cs="Times New Roman"/>
          <w:b/>
          <w:caps/>
          <w:szCs w:val="20"/>
        </w:rPr>
      </w:pPr>
    </w:p>
    <w:p w14:paraId="663DADF2" w14:textId="71BF1E20" w:rsidR="004E17B7" w:rsidRPr="0083529C" w:rsidRDefault="004E17B7" w:rsidP="004E17B7">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w:t>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5E6509B5" w:rsidR="00043093" w:rsidRDefault="000A74D7" w:rsidP="00043093">
      <w:pPr>
        <w:ind w:left="709" w:right="663"/>
        <w:jc w:val="both"/>
        <w:rPr>
          <w:rFonts w:cs="Times New Roman"/>
          <w:szCs w:val="20"/>
        </w:rPr>
      </w:pPr>
      <w:r>
        <w:rPr>
          <w:rFonts w:cs="Times New Roman"/>
          <w:szCs w:val="20"/>
        </w:rPr>
        <w:t xml:space="preserve">A </w:t>
      </w:r>
      <w:r w:rsidR="004C5F10">
        <w:rPr>
          <w:rFonts w:cs="Times New Roman"/>
          <w:szCs w:val="20"/>
        </w:rPr>
        <w:t>method</w:t>
      </w:r>
      <w:r w:rsidR="001256DA">
        <w:rPr>
          <w:rFonts w:cs="Times New Roman"/>
          <w:szCs w:val="20"/>
        </w:rPr>
        <w:t xml:space="preserve"> is described that uses stock-specific movement to impute </w:t>
      </w:r>
      <w:r w:rsidR="001C6455">
        <w:rPr>
          <w:rFonts w:cs="Times New Roman"/>
          <w:szCs w:val="20"/>
        </w:rPr>
        <w:t>stock-of-origin</w:t>
      </w:r>
      <w:r w:rsidR="001256DA">
        <w:rPr>
          <w:rFonts w:cs="Times New Roman"/>
          <w:szCs w:val="20"/>
        </w:rPr>
        <w:t xml:space="preserve"> for </w:t>
      </w:r>
      <w:r w:rsidR="008E0334">
        <w:rPr>
          <w:rFonts w:cs="Times New Roman"/>
          <w:szCs w:val="20"/>
        </w:rPr>
        <w:t>electronic tag</w:t>
      </w:r>
      <w:r w:rsidR="0073640F">
        <w:rPr>
          <w:rFonts w:cs="Times New Roman"/>
          <w:szCs w:val="20"/>
        </w:rPr>
        <w:t>s</w:t>
      </w:r>
      <w:r w:rsidR="001256DA">
        <w:rPr>
          <w:rFonts w:cs="Times New Roman"/>
          <w:szCs w:val="20"/>
        </w:rPr>
        <w:t xml:space="preserve">. A simple example of the approach was tested using cross-validation </w:t>
      </w:r>
      <w:r w:rsidR="0073640F">
        <w:rPr>
          <w:rFonts w:cs="Times New Roman"/>
          <w:szCs w:val="20"/>
        </w:rPr>
        <w:t>of</w:t>
      </w:r>
      <w:r>
        <w:rPr>
          <w:rFonts w:cs="Times New Roman"/>
          <w:szCs w:val="20"/>
        </w:rPr>
        <w:t xml:space="preserve"> electronic </w:t>
      </w:r>
      <w:r w:rsidR="001256DA">
        <w:rPr>
          <w:rFonts w:cs="Times New Roman"/>
          <w:szCs w:val="20"/>
        </w:rPr>
        <w:t>tag</w:t>
      </w:r>
      <w:r w:rsidR="008E0334">
        <w:rPr>
          <w:rFonts w:cs="Times New Roman"/>
          <w:szCs w:val="20"/>
        </w:rPr>
        <w:t>s</w:t>
      </w:r>
      <w:r w:rsidR="001256DA">
        <w:rPr>
          <w:rFonts w:cs="Times New Roman"/>
          <w:szCs w:val="20"/>
        </w:rPr>
        <w:t xml:space="preserve"> of known </w:t>
      </w:r>
      <w:r w:rsidR="001C6455">
        <w:rPr>
          <w:rFonts w:cs="Times New Roman"/>
          <w:szCs w:val="20"/>
        </w:rPr>
        <w:t>stock-of-origin</w:t>
      </w:r>
      <w:r w:rsidR="001256DA">
        <w:rPr>
          <w:rFonts w:cs="Times New Roman"/>
          <w:szCs w:val="20"/>
        </w:rPr>
        <w:t>. The</w:t>
      </w:r>
      <w:r>
        <w:rPr>
          <w:rFonts w:cs="Times New Roman"/>
          <w:szCs w:val="20"/>
        </w:rPr>
        <w:t xml:space="preserve"> imputation model</w:t>
      </w:r>
      <w:r w:rsidR="001256DA">
        <w:rPr>
          <w:rFonts w:cs="Times New Roman"/>
          <w:szCs w:val="20"/>
        </w:rPr>
        <w:t xml:space="preserve"> achieved a failure rate of 3% and a success rate of 88%. In 9% of cases the imputation </w:t>
      </w:r>
      <w:r>
        <w:rPr>
          <w:rFonts w:cs="Times New Roman"/>
          <w:szCs w:val="20"/>
        </w:rPr>
        <w:t>model</w:t>
      </w:r>
      <w:r w:rsidR="001256DA">
        <w:rPr>
          <w:rFonts w:cs="Times New Roman"/>
          <w:szCs w:val="20"/>
        </w:rPr>
        <w:t xml:space="preserve"> </w:t>
      </w:r>
      <w:r w:rsidR="004C5F10">
        <w:rPr>
          <w:rFonts w:cs="Times New Roman"/>
          <w:szCs w:val="20"/>
        </w:rPr>
        <w:t>did</w:t>
      </w:r>
      <w:r w:rsidR="001256DA">
        <w:rPr>
          <w:rFonts w:cs="Times New Roman"/>
          <w:szCs w:val="20"/>
        </w:rPr>
        <w:t xml:space="preserve"> not </w:t>
      </w:r>
      <w:r w:rsidR="00D1659B">
        <w:rPr>
          <w:rFonts w:cs="Times New Roman"/>
          <w:szCs w:val="20"/>
        </w:rPr>
        <w:t>classify</w:t>
      </w:r>
      <w:r w:rsidR="001256DA">
        <w:rPr>
          <w:rFonts w:cs="Times New Roman"/>
          <w:szCs w:val="20"/>
        </w:rPr>
        <w:t xml:space="preserve"> </w:t>
      </w:r>
      <w:r w:rsidR="001C6455">
        <w:rPr>
          <w:rFonts w:cs="Times New Roman"/>
          <w:szCs w:val="20"/>
        </w:rPr>
        <w:t>stock-of-origin</w:t>
      </w:r>
      <w:r w:rsidR="001256DA">
        <w:rPr>
          <w:rFonts w:cs="Times New Roman"/>
          <w:szCs w:val="20"/>
        </w:rPr>
        <w:t xml:space="preserve">. </w:t>
      </w:r>
      <w:r w:rsidR="008E0334">
        <w:rPr>
          <w:rFonts w:cs="Times New Roman"/>
          <w:szCs w:val="20"/>
        </w:rPr>
        <w:t xml:space="preserve">Similar approaches may </w:t>
      </w:r>
      <w:r w:rsidR="001256DA">
        <w:rPr>
          <w:rFonts w:cs="Times New Roman"/>
          <w:szCs w:val="20"/>
        </w:rPr>
        <w:t>increase the number of tags avai</w:t>
      </w:r>
      <w:r w:rsidR="008E0334">
        <w:rPr>
          <w:rFonts w:cs="Times New Roman"/>
          <w:szCs w:val="20"/>
        </w:rPr>
        <w:t xml:space="preserve">lable for multi-stock </w:t>
      </w:r>
      <w:r w:rsidR="002E5453">
        <w:rPr>
          <w:rFonts w:cs="Times New Roman"/>
          <w:szCs w:val="20"/>
        </w:rPr>
        <w:t xml:space="preserve">spatial population dynamics </w:t>
      </w:r>
      <w:r w:rsidR="008E0334">
        <w:rPr>
          <w:rFonts w:cs="Times New Roman"/>
          <w:szCs w:val="20"/>
        </w:rPr>
        <w:t xml:space="preserve">modelling.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6BF350A4" w:rsidR="00532620" w:rsidRDefault="003E4FCD" w:rsidP="00D24E3B">
      <w:pPr>
        <w:ind w:left="709" w:right="663"/>
        <w:jc w:val="center"/>
        <w:rPr>
          <w:rFonts w:cs="Times New Roman"/>
          <w:i/>
          <w:szCs w:val="20"/>
        </w:rPr>
      </w:pPr>
      <w:r w:rsidRPr="00344FA6">
        <w:rPr>
          <w:rFonts w:cs="Times New Roman"/>
          <w:i/>
          <w:szCs w:val="20"/>
        </w:rPr>
        <w:t xml:space="preserve">Population modelling, </w:t>
      </w:r>
      <w:r w:rsidR="00043093" w:rsidRPr="00344FA6">
        <w:rPr>
          <w:rFonts w:cs="Times New Roman"/>
          <w:i/>
          <w:szCs w:val="20"/>
        </w:rPr>
        <w:t>fishery statistics,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bookmarkStart w:id="0" w:name="_GoBack"/>
      <w:bookmarkEnd w:id="0"/>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B49A44" w14:textId="34DB3B3C" w:rsidR="002F5DBD" w:rsidRDefault="006E4B5F" w:rsidP="004756EC">
      <w:r>
        <w:t>Electronic tagging experiments have provided invaluable information regarding the ecology, migration and stock composition of Atlantic bluefin tuna (</w:t>
      </w:r>
      <w:r w:rsidR="00857B60">
        <w:t xml:space="preserve">Block et al. 2005, </w:t>
      </w:r>
      <w:proofErr w:type="spellStart"/>
      <w:r w:rsidR="00857B60">
        <w:t>Lutcavage</w:t>
      </w:r>
      <w:proofErr w:type="spellEnd"/>
      <w:r w:rsidR="00857B60">
        <w:t xml:space="preserve"> et al. 2012</w:t>
      </w:r>
      <w:r w:rsidR="008833BD">
        <w:t xml:space="preserve">, </w:t>
      </w:r>
      <w:proofErr w:type="spellStart"/>
      <w:proofErr w:type="gramStart"/>
      <w:r w:rsidR="008833BD">
        <w:t>Cermeno</w:t>
      </w:r>
      <w:proofErr w:type="spellEnd"/>
      <w:proofErr w:type="gramEnd"/>
      <w:r w:rsidR="008833BD">
        <w:t xml:space="preserve"> et al. 2015</w:t>
      </w:r>
      <w:r>
        <w:t>). Electronic tagging data are a principal source of data for identifying plausible hypotheses for</w:t>
      </w:r>
      <w:r w:rsidRPr="006E4B5F">
        <w:t xml:space="preserve"> </w:t>
      </w:r>
      <w:r>
        <w:t xml:space="preserve">stock mixing and movement that may be included in </w:t>
      </w:r>
      <w:r w:rsidR="00DF4318" w:rsidRPr="004E17B7">
        <w:t xml:space="preserve">Management Strategy Evaluation (MSE, </w:t>
      </w:r>
      <w:r w:rsidR="00951331" w:rsidRPr="004E17B7">
        <w:t>Butterworth 1999</w:t>
      </w:r>
      <w:r w:rsidR="00DF4318" w:rsidRPr="004E17B7">
        <w:t xml:space="preserve">) </w:t>
      </w:r>
      <w:r>
        <w:t xml:space="preserve">to identify robust management approaches </w:t>
      </w:r>
      <w:r w:rsidR="0050335F" w:rsidRPr="004E17B7">
        <w:t>(SCRS 2013</w:t>
      </w:r>
      <w:r>
        <w:t xml:space="preserve">). </w:t>
      </w:r>
      <w:r w:rsidR="00857B60">
        <w:t>Electronic tagging data also provides additional information about the relative likelihood of encountering fish of each stock in a particular time and area, which is ultimately used by multi</w:t>
      </w:r>
      <w:r w:rsidR="0086191A">
        <w:t>-</w:t>
      </w:r>
      <w:r w:rsidR="00857B60">
        <w:t xml:space="preserve">stock population models to divide up observed catches by stock </w:t>
      </w:r>
      <w:r w:rsidR="002E5453">
        <w:t xml:space="preserve">thereby </w:t>
      </w:r>
      <w:r w:rsidR="00857B60">
        <w:t>inform</w:t>
      </w:r>
      <w:r w:rsidR="002E5453">
        <w:t>ing</w:t>
      </w:r>
      <w:r w:rsidR="00857B60">
        <w:t xml:space="preserve"> the relative size of each stock (i</w:t>
      </w:r>
      <w:r w:rsidR="00901E12">
        <w:t>.</w:t>
      </w:r>
      <w:r w:rsidR="00857B60">
        <w:t>e</w:t>
      </w:r>
      <w:r w:rsidR="00901E12">
        <w:t>.</w:t>
      </w:r>
      <w:r w:rsidR="00857B60">
        <w:t xml:space="preserve"> the unfished biomass of </w:t>
      </w:r>
      <w:r w:rsidR="002E5453">
        <w:t xml:space="preserve">the </w:t>
      </w:r>
      <w:r w:rsidR="00857B60">
        <w:t>Eastern stock spawning in the Mediterranean and the Western stock</w:t>
      </w:r>
      <w:r w:rsidR="00901E12">
        <w:t xml:space="preserve"> </w:t>
      </w:r>
      <w:r w:rsidR="00857B60">
        <w:t>spawning in the Gulf of Mexico</w:t>
      </w:r>
      <w:r w:rsidR="00901E12">
        <w:t xml:space="preserve"> and Slope S</w:t>
      </w:r>
      <w:r w:rsidR="00857B60">
        <w:t xml:space="preserve">ea). </w:t>
      </w:r>
    </w:p>
    <w:p w14:paraId="7802972E" w14:textId="77777777" w:rsidR="006E4B5F" w:rsidRDefault="006E4B5F" w:rsidP="004756EC"/>
    <w:p w14:paraId="6D4F12A6" w14:textId="4A66092B" w:rsidR="00C10ECE" w:rsidRDefault="006E4B5F" w:rsidP="004756EC">
      <w:r>
        <w:t>A principal obstruction to the use of electronic tagging in multi</w:t>
      </w:r>
      <w:r w:rsidR="00220820">
        <w:t>-</w:t>
      </w:r>
      <w:r>
        <w:t xml:space="preserve">stock population dynamics models is that a large fraction </w:t>
      </w:r>
      <w:r w:rsidR="00C10ECE">
        <w:t xml:space="preserve">of electronic tag tracks </w:t>
      </w:r>
      <w:r>
        <w:t>cannot be reliably assigned to a partic</w:t>
      </w:r>
      <w:r w:rsidR="00857B60">
        <w:t xml:space="preserve">ular </w:t>
      </w:r>
      <w:r w:rsidR="001C6455">
        <w:t>stock-of-origin</w:t>
      </w:r>
      <w:r w:rsidR="00A8201D">
        <w:t xml:space="preserve"> (e.g. Carruthers et al. 2015)</w:t>
      </w:r>
      <w:r w:rsidR="00857B60">
        <w:t xml:space="preserve">. It may be possible </w:t>
      </w:r>
      <w:r w:rsidR="001C6455">
        <w:t>assign stock-of-origin</w:t>
      </w:r>
      <w:r w:rsidR="00857B60">
        <w:t xml:space="preserve"> internally in the </w:t>
      </w:r>
      <w:r w:rsidR="001C6455">
        <w:t xml:space="preserve">spatial population dynamics </w:t>
      </w:r>
      <w:r w:rsidR="00857B60">
        <w:t xml:space="preserve">model by using the </w:t>
      </w:r>
      <w:r w:rsidR="008833BD">
        <w:t xml:space="preserve">model </w:t>
      </w:r>
      <w:r w:rsidR="0086191A">
        <w:t xml:space="preserve">estimated movement </w:t>
      </w:r>
      <w:r w:rsidR="00857B60">
        <w:t xml:space="preserve">matrices. However the discrete assignment of </w:t>
      </w:r>
      <w:r w:rsidR="001C6455">
        <w:t>stock-of-origin</w:t>
      </w:r>
      <w:r w:rsidR="008833BD">
        <w:t xml:space="preserve"> </w:t>
      </w:r>
      <w:r w:rsidR="00857B60">
        <w:t xml:space="preserve">to tags using the relative likelihood of </w:t>
      </w:r>
      <w:r w:rsidR="001C6455">
        <w:t>stock-of-origin</w:t>
      </w:r>
      <w:r w:rsidR="008833BD">
        <w:t>,</w:t>
      </w:r>
      <w:r w:rsidR="00857B60">
        <w:t xml:space="preserve"> introduces instability in movement estimation. </w:t>
      </w:r>
      <w:r w:rsidR="0086191A">
        <w:t xml:space="preserve">It may be preferable to assign </w:t>
      </w:r>
      <w:r w:rsidR="001C6455">
        <w:t>stock-of-origin</w:t>
      </w:r>
      <w:r w:rsidR="0086191A">
        <w:t xml:space="preserve"> </w:t>
      </w:r>
      <w:proofErr w:type="spellStart"/>
      <w:r w:rsidR="0086191A" w:rsidRPr="0086191A">
        <w:rPr>
          <w:i/>
        </w:rPr>
        <w:t>apriori</w:t>
      </w:r>
      <w:proofErr w:type="spellEnd"/>
      <w:r w:rsidR="0086191A">
        <w:t xml:space="preserve"> </w:t>
      </w:r>
      <w:r w:rsidR="001C6455">
        <w:t>using</w:t>
      </w:r>
      <w:r w:rsidR="0086191A">
        <w:t xml:space="preserve"> the movements of tags of known </w:t>
      </w:r>
      <w:r w:rsidR="001C6455">
        <w:t>stock-of-origin</w:t>
      </w:r>
      <w:r w:rsidR="0086191A">
        <w:t>. In this paper I describe a general approach for achieving this and a simplistic proof of concept using</w:t>
      </w:r>
      <w:r w:rsidR="001C6455">
        <w:t xml:space="preserve"> cross validation and</w:t>
      </w:r>
      <w:r w:rsidR="008833BD">
        <w:t xml:space="preserve"> </w:t>
      </w:r>
      <w:r w:rsidR="0086191A">
        <w:t>the coarsely aggregated data available t</w:t>
      </w:r>
      <w:r w:rsidR="008833BD">
        <w:t xml:space="preserve">o the bluefin tuna MSE process. </w:t>
      </w:r>
    </w:p>
    <w:p w14:paraId="4EFC7CA9" w14:textId="77777777" w:rsidR="003173A4" w:rsidRDefault="003173A4" w:rsidP="004756EC"/>
    <w:p w14:paraId="2A0890EC" w14:textId="4FD0B412" w:rsidR="002F5DBD" w:rsidRDefault="003173A4" w:rsidP="002F5DBD">
      <w:pPr>
        <w:pStyle w:val="Heading1"/>
      </w:pPr>
      <w:r>
        <w:t>Methods</w:t>
      </w:r>
    </w:p>
    <w:p w14:paraId="6FD785E3" w14:textId="6B60015B" w:rsidR="0086191A" w:rsidRDefault="00C17370" w:rsidP="00AA0CF4">
      <w:pPr>
        <w:pStyle w:val="Heading2"/>
      </w:pPr>
      <w:r>
        <w:t>Theory</w:t>
      </w:r>
    </w:p>
    <w:p w14:paraId="3A384FAC" w14:textId="77777777" w:rsidR="0086191A" w:rsidRDefault="0086191A" w:rsidP="0086191A"/>
    <w:p w14:paraId="6EE5D7C0" w14:textId="233C571D" w:rsidR="0086191A" w:rsidRDefault="0086191A" w:rsidP="0086191A">
      <w:r>
        <w:t xml:space="preserve">Let us assume that movement of animals does not vary substantially among years. If a Markov movement matrix </w:t>
      </w:r>
      <w:r w:rsidRPr="00D67FCA">
        <w:rPr>
          <w:i/>
        </w:rPr>
        <w:t>M</w:t>
      </w:r>
      <w:r>
        <w:t xml:space="preserve"> is available for all stocks </w:t>
      </w:r>
      <w:r w:rsidRPr="00D67FCA">
        <w:rPr>
          <w:i/>
        </w:rPr>
        <w:t>s</w:t>
      </w:r>
      <w:r w:rsidR="004C5F10">
        <w:t xml:space="preserve"> in a within-</w:t>
      </w:r>
      <w:r>
        <w:t xml:space="preserve">year time period </w:t>
      </w:r>
      <w:r w:rsidRPr="00D67FCA">
        <w:rPr>
          <w:i/>
        </w:rPr>
        <w:t>t</w:t>
      </w:r>
      <w:r>
        <w:t xml:space="preserve"> then the asymptotic fraction of fish </w:t>
      </w:r>
      <w:r w:rsidR="00A8201D">
        <w:t xml:space="preserve">inhabiting an area </w:t>
      </w:r>
      <w:r w:rsidR="00A8201D" w:rsidRPr="004C5F10">
        <w:rPr>
          <w:i/>
        </w:rPr>
        <w:t>k</w:t>
      </w:r>
      <w:r w:rsidR="00A8201D">
        <w:t xml:space="preserve"> </w:t>
      </w:r>
      <w:r>
        <w:t xml:space="preserve">can be found by recursively multiplying a vector </w:t>
      </w:r>
      <w:r w:rsidRPr="00D67FCA">
        <w:rPr>
          <w:i/>
        </w:rPr>
        <w:t>v</w:t>
      </w:r>
      <w:r>
        <w:t xml:space="preserve"> by the seasonal movement</w:t>
      </w:r>
      <w:r w:rsidR="00A8201D">
        <w:t xml:space="preserve"> from area </w:t>
      </w:r>
      <w:r w:rsidR="00A8201D" w:rsidRPr="00A8201D">
        <w:rPr>
          <w:i/>
        </w:rPr>
        <w:t>r</w:t>
      </w:r>
      <w:r w:rsidR="00A8201D">
        <w:t xml:space="preserve"> to area </w:t>
      </w:r>
      <w:r w:rsidR="00A8201D" w:rsidRPr="00A8201D">
        <w:rPr>
          <w:i/>
        </w:rPr>
        <w:t>k</w:t>
      </w:r>
      <w:r>
        <w:t>:</w:t>
      </w:r>
    </w:p>
    <w:p w14:paraId="54229E2F" w14:textId="77777777" w:rsidR="0086191A" w:rsidRDefault="0086191A" w:rsidP="0086191A"/>
    <w:p w14:paraId="647A8BA9" w14:textId="7E379E09" w:rsidR="0086191A" w:rsidRPr="0086191A" w:rsidRDefault="00D1659B" w:rsidP="004C5F10">
      <w:pPr>
        <w:pStyle w:val="ListParagraph"/>
        <w:numPr>
          <w:ilvl w:val="0"/>
          <w:numId w:val="5"/>
        </w:numPr>
        <w:ind w:hanging="720"/>
      </w:pPr>
      <m:oMath>
        <m:sSub>
          <m:sSubPr>
            <m:ctrlPr>
              <w:rPr>
                <w:rFonts w:ascii="Cambria Math" w:hAnsi="Cambria Math"/>
                <w:i/>
              </w:rPr>
            </m:ctrlPr>
          </m:sSubPr>
          <m:e>
            <m:r>
              <w:rPr>
                <w:rFonts w:ascii="Cambria Math" w:hAnsi="Cambria Math"/>
              </w:rPr>
              <m:t>v</m:t>
            </m:r>
          </m:e>
          <m:sub>
            <m:r>
              <w:rPr>
                <w:rFonts w:ascii="Cambria Math" w:hAnsi="Cambria Math"/>
              </w:rPr>
              <m:t>s,t,k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v</m:t>
                          </m:r>
                        </m:e>
                      </m:nary>
                    </m:e>
                    <m:sub>
                      <m:r>
                        <w:rPr>
                          <w:rFonts w:ascii="Cambria Math" w:hAnsi="Cambria Math"/>
                        </w:rPr>
                        <m:t>s,t-1,k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t&gt;1</m:t>
                  </m:r>
                </m:e>
              </m:mr>
              <m:mr>
                <m:e>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v</m:t>
                          </m:r>
                        </m:e>
                      </m:nary>
                    </m:e>
                    <m:sub>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t=1</m:t>
                  </m:r>
                </m:e>
              </m:mr>
            </m:m>
          </m:e>
        </m:d>
      </m:oMath>
    </w:p>
    <w:p w14:paraId="36B6BC54" w14:textId="77777777" w:rsidR="00D67FCA" w:rsidRDefault="00D67FCA" w:rsidP="00D67FCA"/>
    <w:p w14:paraId="076526AD" w14:textId="6D23AEB2" w:rsidR="00D67FCA" w:rsidRDefault="00D67FCA" w:rsidP="00D67FCA">
      <w:proofErr w:type="gramStart"/>
      <w:r>
        <w:t>where</w:t>
      </w:r>
      <w:proofErr w:type="gramEnd"/>
      <w:r>
        <w:t xml:space="preserve"> </w:t>
      </w:r>
      <w:proofErr w:type="spellStart"/>
      <w:r w:rsidRPr="00D67FCA">
        <w:rPr>
          <w:i/>
        </w:rPr>
        <w:t>n</w:t>
      </w:r>
      <w:r w:rsidRPr="00D67FCA">
        <w:rPr>
          <w:i/>
          <w:vertAlign w:val="subscript"/>
        </w:rPr>
        <w:t>t</w:t>
      </w:r>
      <w:proofErr w:type="spellEnd"/>
      <w:r>
        <w:t xml:space="preserve"> is the total number of </w:t>
      </w:r>
      <w:r w:rsidR="004C5F10">
        <w:t>within-</w:t>
      </w:r>
      <w:r>
        <w:t xml:space="preserve">year time steps (e.g. </w:t>
      </w:r>
      <w:proofErr w:type="spellStart"/>
      <w:r w:rsidRPr="00D67FCA">
        <w:rPr>
          <w:i/>
        </w:rPr>
        <w:t>n</w:t>
      </w:r>
      <w:r w:rsidRPr="00D67FCA">
        <w:rPr>
          <w:i/>
          <w:vertAlign w:val="subscript"/>
        </w:rPr>
        <w:t>t</w:t>
      </w:r>
      <w:proofErr w:type="spellEnd"/>
      <w:r>
        <w:rPr>
          <w:i/>
          <w:vertAlign w:val="subscript"/>
        </w:rPr>
        <w:t xml:space="preserve"> </w:t>
      </w:r>
      <w:r>
        <w:t xml:space="preserve">= 12 for monthly model) and </w:t>
      </w:r>
      <w:r w:rsidRPr="00C05DCB">
        <w:rPr>
          <w:i/>
        </w:rPr>
        <w:t>v</w:t>
      </w:r>
      <w:r>
        <w:t xml:space="preserve"> is a vector representing stock fractions (i</w:t>
      </w:r>
      <w:r w:rsidR="00C05DCB">
        <w:t>.</w:t>
      </w:r>
      <w:r>
        <w:t>e</w:t>
      </w:r>
      <w:r w:rsidR="00C05DCB">
        <w:t xml:space="preserve">. </w:t>
      </w:r>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m:t>
                </m:r>
              </m:e>
              <m:sub>
                <m:r>
                  <w:rPr>
                    <w:rFonts w:ascii="Cambria Math" w:hAnsi="Cambria Math"/>
                  </w:rPr>
                  <m:t>s,t,k</m:t>
                </m:r>
              </m:sub>
            </m:sSub>
          </m:e>
        </m:nary>
        <m:r>
          <w:rPr>
            <w:rFonts w:ascii="Cambria Math" w:hAnsi="Cambria Math"/>
          </w:rPr>
          <m:t>=1</m:t>
        </m:r>
      </m:oMath>
      <w:r>
        <w:t xml:space="preserve"> </w:t>
      </w:r>
      <w:r w:rsidR="004C5F10">
        <w:t>,</w:t>
      </w:r>
      <w:r>
        <w:t xml:space="preserve"> </w:t>
      </w:r>
      <w:r w:rsidR="00C05DCB">
        <w:t>and</w:t>
      </w:r>
      <w:r w:rsidR="004C5F10">
        <w:t xml:space="preserve"> prior to iterative multiplication by the movement matrices,</w:t>
      </w:r>
      <w:r w:rsidR="00C05DCB">
        <w:t xml:space="preserve"> initial values for </w:t>
      </w:r>
      <w:r w:rsidR="00C05DCB" w:rsidRPr="00C05DCB">
        <w:rPr>
          <w:i/>
        </w:rPr>
        <w:t>v</w:t>
      </w:r>
      <w:r w:rsidR="00C05DCB">
        <w:t xml:space="preserve"> can be set to 1/</w:t>
      </w:r>
      <w:proofErr w:type="spellStart"/>
      <w:r w:rsidR="00C05DCB" w:rsidRPr="00C05DCB">
        <w:rPr>
          <w:i/>
        </w:rPr>
        <w:t>n</w:t>
      </w:r>
      <w:r w:rsidR="00C05DCB" w:rsidRPr="00C05DCB">
        <w:rPr>
          <w:i/>
          <w:vertAlign w:val="subscript"/>
        </w:rPr>
        <w:t>r</w:t>
      </w:r>
      <w:proofErr w:type="spellEnd"/>
      <w:r w:rsidR="00C05DCB">
        <w:t>, the reciprocal of the number of areas)</w:t>
      </w:r>
      <w:r w:rsidR="004C5F10">
        <w:t>.</w:t>
      </w:r>
    </w:p>
    <w:p w14:paraId="4EA81A8D" w14:textId="77777777" w:rsidR="00D67FCA" w:rsidRDefault="00D67FCA" w:rsidP="00D67FCA"/>
    <w:p w14:paraId="220F74EE" w14:textId="31BD9E6F" w:rsidR="00D67FCA" w:rsidRDefault="00D67FCA" w:rsidP="00D67FCA">
      <w:r>
        <w:t xml:space="preserve">In </w:t>
      </w:r>
      <w:r w:rsidR="00C05DCB">
        <w:t xml:space="preserve">computer </w:t>
      </w:r>
      <w:r>
        <w:t xml:space="preserve">coding terms, this means looping over a number of iterative ‘years’ and </w:t>
      </w:r>
      <w:proofErr w:type="spellStart"/>
      <w:r>
        <w:t>subyears</w:t>
      </w:r>
      <w:proofErr w:type="spellEnd"/>
      <w:r>
        <w:t xml:space="preserve"> until </w:t>
      </w:r>
      <w:r w:rsidRPr="00D67FCA">
        <w:rPr>
          <w:i/>
        </w:rPr>
        <w:t>v</w:t>
      </w:r>
      <w:r>
        <w:t xml:space="preserve"> stabilizes in each </w:t>
      </w:r>
      <w:r w:rsidR="004C5F10">
        <w:t>within-</w:t>
      </w:r>
      <w:r>
        <w:t xml:space="preserve">year (typically </w:t>
      </w:r>
      <w:r w:rsidRPr="00D67FCA">
        <w:rPr>
          <w:i/>
        </w:rPr>
        <w:t>v</w:t>
      </w:r>
      <w:r>
        <w:t xml:space="preserve"> varies by less than 0.1% within 100 ‘years’). </w:t>
      </w:r>
      <w:r w:rsidR="001C6455">
        <w:t>Once this iterative process has converged the</w:t>
      </w:r>
      <w:r>
        <w:t xml:space="preserve"> fraction </w:t>
      </w:r>
      <w:r w:rsidRPr="00D67FCA">
        <w:rPr>
          <w:i/>
        </w:rPr>
        <w:t>N</w:t>
      </w:r>
      <w:r>
        <w:t>, of each stock passing to and from</w:t>
      </w:r>
      <w:r w:rsidR="004C5F10">
        <w:t xml:space="preserve"> </w:t>
      </w:r>
      <w:r>
        <w:t xml:space="preserve">areas can be </w:t>
      </w:r>
      <w:r w:rsidR="001C6455">
        <w:t>calculated</w:t>
      </w:r>
      <w:r>
        <w:t>:</w:t>
      </w:r>
    </w:p>
    <w:p w14:paraId="170FDB31" w14:textId="77777777" w:rsidR="00D67FCA" w:rsidRDefault="00D67FCA" w:rsidP="00D67FCA"/>
    <w:p w14:paraId="1F826EB6" w14:textId="581FCDA1" w:rsidR="00D67FCA" w:rsidRDefault="00D1659B" w:rsidP="004C5F10">
      <w:pPr>
        <w:pStyle w:val="ListParagraph"/>
        <w:numPr>
          <w:ilvl w:val="0"/>
          <w:numId w:val="5"/>
        </w:numPr>
        <w:ind w:hanging="720"/>
      </w:pPr>
      <m:oMath>
        <m:sSub>
          <m:sSubPr>
            <m:ctrlPr>
              <w:rPr>
                <w:rFonts w:ascii="Cambria Math" w:hAnsi="Cambria Math"/>
                <w:i/>
              </w:rPr>
            </m:ctrlPr>
          </m:sSubPr>
          <m:e>
            <m:r>
              <w:rPr>
                <w:rFonts w:ascii="Cambria Math" w:hAnsi="Cambria Math"/>
              </w:rPr>
              <m:t>N</m:t>
            </m:r>
          </m:e>
          <m:sub>
            <m:r>
              <w:rPr>
                <w:rFonts w:ascii="Cambria Math" w:hAnsi="Cambria Math"/>
              </w:rPr>
              <m:t>s,t,r,k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s,t-1,k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t&gt;1</m:t>
                  </m:r>
                </m:e>
              </m:mr>
              <m:mr>
                <m:e>
                  <m:sSub>
                    <m:sSubPr>
                      <m:ctrlPr>
                        <w:rPr>
                          <w:rFonts w:ascii="Cambria Math" w:hAnsi="Cambria Math"/>
                          <w:i/>
                        </w:rPr>
                      </m:ctrlPr>
                    </m:sSubPr>
                    <m:e>
                      <m:r>
                        <w:rPr>
                          <w:rFonts w:ascii="Cambria Math" w:hAnsi="Cambria Math"/>
                        </w:rPr>
                        <m:t>v</m:t>
                      </m:r>
                    </m:e>
                    <m:sub>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s,t,r,k</m:t>
                      </m:r>
                    </m:sub>
                  </m:sSub>
                </m:e>
                <m:e>
                  <m:r>
                    <w:rPr>
                      <w:rFonts w:ascii="Cambria Math" w:hAnsi="Cambria Math"/>
                    </w:rPr>
                    <m:t>t=1</m:t>
                  </m:r>
                </m:e>
              </m:mr>
            </m:m>
          </m:e>
        </m:d>
      </m:oMath>
    </w:p>
    <w:p w14:paraId="08AADFB7" w14:textId="77777777" w:rsidR="00D67FCA" w:rsidRDefault="00D67FCA" w:rsidP="00D67FCA"/>
    <w:p w14:paraId="1E5537B7" w14:textId="2DE984E9" w:rsidR="00D67FCA" w:rsidRDefault="001C6455" w:rsidP="00D67FCA">
      <w:r>
        <w:t xml:space="preserve">It follows that the probability </w:t>
      </w:r>
      <w:r w:rsidR="00C05DCB">
        <w:t xml:space="preserve">of a tag transition </w:t>
      </w:r>
      <w:r w:rsidR="00C05DCB" w:rsidRPr="00C05DCB">
        <w:rPr>
          <w:i/>
        </w:rPr>
        <w:t>T</w:t>
      </w:r>
      <w:r w:rsidR="00C05DCB">
        <w:t xml:space="preserve">, </w:t>
      </w:r>
      <w:r w:rsidR="00C17370">
        <w:t xml:space="preserve">of tag </w:t>
      </w:r>
      <w:proofErr w:type="spellStart"/>
      <w:r w:rsidR="00C17370" w:rsidRPr="00C17370">
        <w:rPr>
          <w:i/>
        </w:rPr>
        <w:t>i</w:t>
      </w:r>
      <w:proofErr w:type="spellEnd"/>
      <w:r w:rsidR="00C17370">
        <w:t xml:space="preserve">, </w:t>
      </w:r>
      <w:r w:rsidR="00C05DCB">
        <w:t xml:space="preserve">from area </w:t>
      </w:r>
      <w:r w:rsidR="00C05DCB" w:rsidRPr="00C05DCB">
        <w:rPr>
          <w:i/>
        </w:rPr>
        <w:t>r</w:t>
      </w:r>
      <w:r w:rsidR="00C05DCB">
        <w:t xml:space="preserve"> to area </w:t>
      </w:r>
      <w:r w:rsidR="00C05DCB" w:rsidRPr="00C05DCB">
        <w:rPr>
          <w:i/>
        </w:rPr>
        <w:t>k</w:t>
      </w:r>
      <w:r w:rsidR="00C05DCB">
        <w:t xml:space="preserve"> in </w:t>
      </w:r>
      <w:proofErr w:type="spellStart"/>
      <w:r w:rsidR="00C05DCB">
        <w:t>subyear</w:t>
      </w:r>
      <w:proofErr w:type="spellEnd"/>
      <w:r w:rsidR="00C05DCB">
        <w:t xml:space="preserve"> </w:t>
      </w:r>
      <w:r w:rsidR="00C05DCB" w:rsidRPr="00C05DCB">
        <w:rPr>
          <w:i/>
        </w:rPr>
        <w:t>t</w:t>
      </w:r>
      <w:r w:rsidR="00C05DCB">
        <w:t xml:space="preserve">, originating from a fish of stock </w:t>
      </w:r>
      <w:r w:rsidR="00C05DCB" w:rsidRPr="00A8201D">
        <w:rPr>
          <w:i/>
        </w:rPr>
        <w:t>s</w:t>
      </w:r>
      <w:r w:rsidR="00C05DCB">
        <w:t xml:space="preserve"> can be calculated by:</w:t>
      </w:r>
    </w:p>
    <w:p w14:paraId="0C01B866" w14:textId="77777777" w:rsidR="00C05DCB" w:rsidRDefault="00C05DCB" w:rsidP="00D67FCA"/>
    <w:p w14:paraId="390BC94B" w14:textId="5A003FC8" w:rsidR="00C05DCB" w:rsidRDefault="00094003" w:rsidP="004C5F10">
      <w:pPr>
        <w:pStyle w:val="ListParagraph"/>
        <w:numPr>
          <w:ilvl w:val="0"/>
          <w:numId w:val="5"/>
        </w:numPr>
        <w:ind w:hanging="720"/>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i,t,r,k</m:t>
                </m:r>
              </m:sub>
            </m:sSub>
            <m:r>
              <w:rPr>
                <w:rFonts w:ascii="Cambria Math" w:hAnsi="Cambria Math"/>
              </w:rPr>
              <m:t>∈s|M,R</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s,t,r,k</m:t>
                </m:r>
              </m:sub>
            </m:sSub>
          </m:num>
          <m:den>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s,t,r,k</m:t>
                    </m:r>
                  </m:sub>
                </m:sSub>
              </m:e>
            </m:nary>
          </m:den>
        </m:f>
      </m:oMath>
    </w:p>
    <w:p w14:paraId="46471EDA" w14:textId="77777777" w:rsidR="00D67FCA" w:rsidRDefault="00D67FCA" w:rsidP="00D67FCA"/>
    <w:p w14:paraId="5A384F48" w14:textId="25083A0B" w:rsidR="00094003" w:rsidRDefault="00094003" w:rsidP="00D67FCA">
      <w:proofErr w:type="gramStart"/>
      <w:r>
        <w:t>where</w:t>
      </w:r>
      <w:proofErr w:type="gramEnd"/>
      <w:r>
        <w:t xml:space="preserve"> </w:t>
      </w:r>
      <w:r w:rsidRPr="00094003">
        <w:rPr>
          <w:i/>
        </w:rPr>
        <w:t>R</w:t>
      </w:r>
      <w:r>
        <w:t xml:space="preserve"> is the relative magnitude of each stock. </w:t>
      </w:r>
    </w:p>
    <w:p w14:paraId="47A77CEE" w14:textId="77777777" w:rsidR="00094003" w:rsidRDefault="00094003" w:rsidP="00D67FCA"/>
    <w:p w14:paraId="572315BA" w14:textId="41A36BF5" w:rsidR="00094003" w:rsidRDefault="00094003" w:rsidP="00D67FCA">
      <w:r>
        <w:t>In instances whe</w:t>
      </w:r>
      <w:r w:rsidR="00C17370">
        <w:t>re a t</w:t>
      </w:r>
      <w:r w:rsidR="004C5F10">
        <w:t xml:space="preserve">ag </w:t>
      </w:r>
      <w:proofErr w:type="spellStart"/>
      <w:r w:rsidR="004C5F10" w:rsidRPr="001C6455">
        <w:rPr>
          <w:i/>
        </w:rPr>
        <w:t>i</w:t>
      </w:r>
      <w:proofErr w:type="spellEnd"/>
      <w:r w:rsidR="004C5F10">
        <w:t xml:space="preserve"> can be observed over many time steps</w:t>
      </w:r>
      <w:r w:rsidR="00C17370">
        <w:t xml:space="preserve"> (there are </w:t>
      </w:r>
      <w:r w:rsidR="00C17370" w:rsidRPr="00C17370">
        <w:rPr>
          <w:i/>
        </w:rPr>
        <w:t>n</w:t>
      </w:r>
      <w:r w:rsidR="00C17370" w:rsidRPr="00C17370">
        <w:rPr>
          <w:i/>
          <w:vertAlign w:val="subscript"/>
        </w:rPr>
        <w:t>o</w:t>
      </w:r>
      <w:r w:rsidR="00C17370">
        <w:t xml:space="preserve"> track observations)</w:t>
      </w:r>
      <w:r w:rsidR="004C5F10">
        <w:t>,</w:t>
      </w:r>
      <w:r w:rsidR="00C17370">
        <w:t xml:space="preserve"> the total </w:t>
      </w:r>
      <w:r w:rsidR="001C6455">
        <w:t>probability</w:t>
      </w:r>
      <w:r w:rsidR="00C17370">
        <w:t xml:space="preserve"> </w:t>
      </w:r>
      <w:r w:rsidR="00C17370" w:rsidRPr="00C17370">
        <w:rPr>
          <w:i/>
        </w:rPr>
        <w:t>L</w:t>
      </w:r>
      <w:r w:rsidR="00A8201D">
        <w:rPr>
          <w:i/>
        </w:rPr>
        <w:t xml:space="preserve"> </w:t>
      </w:r>
      <w:r w:rsidR="00C17370">
        <w:t xml:space="preserve">of that tag belonging to </w:t>
      </w:r>
      <w:r w:rsidR="001C6455">
        <w:t>stock-of-origin</w:t>
      </w:r>
      <w:r w:rsidR="00C17370">
        <w:t xml:space="preserve"> </w:t>
      </w:r>
      <w:r w:rsidR="00C17370" w:rsidRPr="00C17370">
        <w:rPr>
          <w:i/>
        </w:rPr>
        <w:t>s</w:t>
      </w:r>
      <w:r w:rsidR="00C17370">
        <w:t xml:space="preserve"> can be calculated </w:t>
      </w:r>
      <w:r w:rsidR="004C5F10">
        <w:t>as</w:t>
      </w:r>
      <w:r w:rsidR="00C17370">
        <w:t xml:space="preserve"> the product of the </w:t>
      </w:r>
      <w:r w:rsidR="00C17370" w:rsidRPr="00C17370">
        <w:rPr>
          <w:i/>
        </w:rPr>
        <w:t>P</w:t>
      </w:r>
      <w:r w:rsidR="00C17370">
        <w:t xml:space="preserve"> terms</w:t>
      </w:r>
      <w:r w:rsidR="004C5F10">
        <w:t>:</w:t>
      </w:r>
    </w:p>
    <w:p w14:paraId="3A0F85C3" w14:textId="77777777" w:rsidR="00C17370" w:rsidRDefault="00C17370" w:rsidP="00D67FCA"/>
    <w:p w14:paraId="008B6E9F" w14:textId="7119E139" w:rsidR="00C17370" w:rsidRPr="00C17370" w:rsidRDefault="00D1659B" w:rsidP="004C5F10">
      <w:pPr>
        <w:pStyle w:val="ListParagraph"/>
        <w:numPr>
          <w:ilvl w:val="0"/>
          <w:numId w:val="5"/>
        </w:numPr>
        <w:ind w:hanging="720"/>
      </w:pPr>
      <m:oMath>
        <m:sSub>
          <m:sSubPr>
            <m:ctrlPr>
              <w:rPr>
                <w:rFonts w:ascii="Cambria Math" w:hAnsi="Cambria Math"/>
                <w:i/>
              </w:rPr>
            </m:ctrlPr>
          </m:sSubPr>
          <m:e>
            <m:r>
              <w:rPr>
                <w:rFonts w:ascii="Cambria Math" w:hAnsi="Cambria Math"/>
              </w:rPr>
              <m:t>L</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P</m:t>
                </m:r>
              </m:e>
              <m:sub>
                <m:r>
                  <w:rPr>
                    <w:rFonts w:ascii="Cambria Math" w:hAnsi="Cambria Math"/>
                  </w:rPr>
                  <m:t>i,s,o</m:t>
                </m:r>
              </m:sub>
            </m:sSub>
          </m:e>
        </m:nary>
      </m:oMath>
    </w:p>
    <w:p w14:paraId="38751101" w14:textId="77777777" w:rsidR="00C17370" w:rsidRDefault="00C17370" w:rsidP="00C17370">
      <w:pPr>
        <w:rPr>
          <w:rFonts w:eastAsiaTheme="minorEastAsia"/>
        </w:rPr>
      </w:pPr>
    </w:p>
    <w:p w14:paraId="47CA4A10" w14:textId="5A7DD2EB" w:rsidR="00C17370" w:rsidRPr="00C17370" w:rsidRDefault="00C17370" w:rsidP="00C17370">
      <w:pPr>
        <w:rPr>
          <w:rFonts w:eastAsiaTheme="minorEastAsia"/>
        </w:rPr>
      </w:pPr>
      <w:r>
        <w:rPr>
          <w:rFonts w:eastAsiaTheme="minorEastAsia"/>
        </w:rPr>
        <w:t xml:space="preserve">The ratio of the </w:t>
      </w:r>
      <w:r w:rsidR="001C6455">
        <w:rPr>
          <w:rFonts w:eastAsiaTheme="minorEastAsia"/>
        </w:rPr>
        <w:t>probabilities for each stock</w:t>
      </w:r>
      <w:r>
        <w:rPr>
          <w:rFonts w:eastAsiaTheme="minorEastAsia"/>
        </w:rPr>
        <w:t xml:space="preserve"> may be used to impute </w:t>
      </w:r>
      <w:r w:rsidR="001C6455">
        <w:rPr>
          <w:rFonts w:eastAsiaTheme="minorEastAsia"/>
        </w:rPr>
        <w:t xml:space="preserve">stock-of-origin for tag tracks that do not have this </w:t>
      </w:r>
      <w:r>
        <w:rPr>
          <w:rFonts w:eastAsiaTheme="minorEastAsia"/>
        </w:rPr>
        <w:t xml:space="preserve">covariate data. </w:t>
      </w:r>
    </w:p>
    <w:p w14:paraId="7F70947E" w14:textId="77777777" w:rsidR="00094003" w:rsidRDefault="00094003" w:rsidP="00D67FCA"/>
    <w:p w14:paraId="679A63EF" w14:textId="519C1AC8" w:rsidR="007A013E" w:rsidRDefault="00C17370" w:rsidP="00AA0CF4">
      <w:pPr>
        <w:pStyle w:val="Heading2"/>
      </w:pPr>
      <w:r>
        <w:t>Simplistic proof of concept</w:t>
      </w:r>
      <w:r w:rsidR="001256DA">
        <w:t xml:space="preserve"> using cross-validation</w:t>
      </w:r>
    </w:p>
    <w:p w14:paraId="60560F1A" w14:textId="77777777" w:rsidR="007A013E" w:rsidRDefault="007A013E" w:rsidP="007A013E"/>
    <w:p w14:paraId="2C136FF7" w14:textId="3D6EF215" w:rsidR="00480F99" w:rsidRDefault="00C17370" w:rsidP="007A013E">
      <w:r>
        <w:lastRenderedPageBreak/>
        <w:t>The aggregated electronic tagging data (provided by M. Lauretta) used in the bluefin tuna MSE process are aggregated to quarter (January-March, April-June, July-September, October-December) and by 10 areas including areas for the natal spawning grounds of Eastern and Western fish in the Mediterranean and Gulf of Mexico</w:t>
      </w:r>
      <w:r w:rsidR="001C6455">
        <w:t>, respectively</w:t>
      </w:r>
      <w:r w:rsidR="009B203E">
        <w:t xml:space="preserve"> (Figure 1)</w:t>
      </w:r>
      <w:r>
        <w:t xml:space="preserve">. It was assumed </w:t>
      </w:r>
      <w:r w:rsidR="001C6455">
        <w:t xml:space="preserve">any </w:t>
      </w:r>
      <w:r>
        <w:t xml:space="preserve">tags </w:t>
      </w:r>
      <w:r w:rsidR="001C6455">
        <w:t>that entered</w:t>
      </w:r>
      <w:r>
        <w:t xml:space="preserve"> the Mediterranean were Eastern fish and any that entered the Gulf of Mexico were Western fish. </w:t>
      </w:r>
      <w:r w:rsidR="00480F99">
        <w:t xml:space="preserve">This was the </w:t>
      </w:r>
      <w:r w:rsidR="001C6455">
        <w:t>b</w:t>
      </w:r>
      <w:r w:rsidR="00480F99">
        <w:t xml:space="preserve">ase dataset of known </w:t>
      </w:r>
      <w:r w:rsidR="001C6455">
        <w:t>stock-of-origin</w:t>
      </w:r>
      <w:r w:rsidR="00480F99">
        <w:t xml:space="preserve"> and it constituted </w:t>
      </w:r>
      <w:r w:rsidR="006360EB">
        <w:t>222</w:t>
      </w:r>
      <w:r w:rsidR="00480F99">
        <w:t xml:space="preserve"> tags and 459 seasonal transitions. </w:t>
      </w:r>
    </w:p>
    <w:p w14:paraId="271B1009" w14:textId="77777777" w:rsidR="00480F99" w:rsidRDefault="00480F99" w:rsidP="007A013E"/>
    <w:p w14:paraId="1D99FB49" w14:textId="542BFB68" w:rsidR="006360EB" w:rsidRDefault="00A8201D" w:rsidP="007A013E">
      <w:r>
        <w:t>‘Leave one out’ cross</w:t>
      </w:r>
      <w:r w:rsidR="00480F99">
        <w:t xml:space="preserve">-validation was used to test the theory laid out in section 2.1. Each </w:t>
      </w:r>
      <w:r>
        <w:t xml:space="preserve">tag of known </w:t>
      </w:r>
      <w:r w:rsidR="001C6455">
        <w:t>stock-of-origin</w:t>
      </w:r>
      <w:r>
        <w:t xml:space="preserve"> </w:t>
      </w:r>
      <w:r w:rsidR="00480F99">
        <w:t xml:space="preserve">was removed from the base dataset one at a time. </w:t>
      </w:r>
      <w:r w:rsidR="006360EB">
        <w:t xml:space="preserve">For each tag, only those transitions that did not include visitation to a known natal spawning ground could be used; natal grounds were used to assign </w:t>
      </w:r>
      <w:r w:rsidR="001C6455">
        <w:t>stock-of-origin</w:t>
      </w:r>
      <w:r w:rsidR="006360EB">
        <w:t xml:space="preserve"> in the first place and consequently stock assignment would be 100% correct if these transitions were included. Of the 222 tags of known </w:t>
      </w:r>
      <w:r w:rsidR="001C6455">
        <w:t>stock-of-origin</w:t>
      </w:r>
      <w:r w:rsidR="006360EB">
        <w:t xml:space="preserve"> just 67 had one or more transitions that did not include the natal spawning ground</w:t>
      </w:r>
      <w:r w:rsidR="009B203E">
        <w:t>s</w:t>
      </w:r>
      <w:r w:rsidR="006360EB">
        <w:t xml:space="preserve"> and therefore just 67 tags could be used in the cross-validation. </w:t>
      </w:r>
    </w:p>
    <w:p w14:paraId="257B3A75" w14:textId="77777777" w:rsidR="006360EB" w:rsidRDefault="006360EB" w:rsidP="007A013E"/>
    <w:p w14:paraId="1C0CBF67" w14:textId="2ED0217D" w:rsidR="00A8201D" w:rsidRDefault="006360EB" w:rsidP="007A013E">
      <w:r>
        <w:t>For each of the 67 tags that were removed</w:t>
      </w:r>
      <w:r w:rsidR="00480F99">
        <w:t xml:space="preserve">, an empirical seasonal movement matrix was calculated for each stock using the remaining tag tracks (the remaining </w:t>
      </w:r>
      <w:r>
        <w:t>221</w:t>
      </w:r>
      <w:r w:rsidR="001C6455">
        <w:t xml:space="preserve"> tags and approximately 430 quarterly transitions)</w:t>
      </w:r>
      <w:r w:rsidR="00480F99">
        <w:t xml:space="preserve">. Using equations 1-4 above and an assumed relative stock size R of 6 for the East and 1 for the West (the East </w:t>
      </w:r>
      <w:r w:rsidR="001C6455">
        <w:t>assumed to be</w:t>
      </w:r>
      <w:r w:rsidR="00480F99">
        <w:t xml:space="preserve"> approximately 6 times larger), the relative likelihood </w:t>
      </w:r>
      <w:proofErr w:type="spellStart"/>
      <w:r w:rsidR="00480F99" w:rsidRPr="00480F99">
        <w:rPr>
          <w:i/>
        </w:rPr>
        <w:t>L</w:t>
      </w:r>
      <w:r w:rsidR="00480F99" w:rsidRPr="00480F99">
        <w:rPr>
          <w:i/>
          <w:vertAlign w:val="subscript"/>
        </w:rPr>
        <w:t>i,s</w:t>
      </w:r>
      <w:proofErr w:type="spellEnd"/>
      <w:r w:rsidR="00480F99">
        <w:t xml:space="preserve"> of the removed tag </w:t>
      </w:r>
      <w:proofErr w:type="spellStart"/>
      <w:r w:rsidR="00480F99" w:rsidRPr="00480F99">
        <w:rPr>
          <w:i/>
        </w:rPr>
        <w:t>i</w:t>
      </w:r>
      <w:proofErr w:type="spellEnd"/>
      <w:r w:rsidR="00480F99">
        <w:t xml:space="preserve"> belonging to a given stock </w:t>
      </w:r>
      <w:r w:rsidR="00480F99" w:rsidRPr="00480F99">
        <w:rPr>
          <w:i/>
        </w:rPr>
        <w:t>s</w:t>
      </w:r>
      <w:r w:rsidR="00480F99">
        <w:t xml:space="preserve"> was calculated. </w:t>
      </w:r>
    </w:p>
    <w:p w14:paraId="3421273B" w14:textId="77777777" w:rsidR="00A8201D" w:rsidRDefault="00A8201D" w:rsidP="007A013E"/>
    <w:p w14:paraId="168C022D" w14:textId="5D85F310" w:rsidR="00C17370" w:rsidRDefault="00480F99" w:rsidP="007A013E">
      <w:r>
        <w:t>For each tag</w:t>
      </w:r>
      <w:r w:rsidR="001C6455">
        <w:t xml:space="preserve"> removed in the leave-one-out cross validation</w:t>
      </w:r>
      <w:r w:rsidR="006360EB">
        <w:t>,</w:t>
      </w:r>
      <w:r>
        <w:t xml:space="preserve"> the </w:t>
      </w:r>
      <w:r w:rsidR="001C6455">
        <w:t>probability</w:t>
      </w:r>
      <w:r>
        <w:t xml:space="preserve"> ratio in favour of stock 1</w:t>
      </w:r>
      <w:r w:rsidR="001C6455">
        <w:t xml:space="preserve"> </w:t>
      </w:r>
      <w:r w:rsidR="00A8201D">
        <w:t>(the eastern stock)</w:t>
      </w:r>
      <w:r>
        <w:t xml:space="preserve"> was calculated: </w:t>
      </w:r>
      <w:proofErr w:type="spellStart"/>
      <w:r w:rsidRPr="009B203E">
        <w:rPr>
          <w:i/>
        </w:rPr>
        <w:t>LR</w:t>
      </w:r>
      <w:r w:rsidRPr="00A8201D">
        <w:rPr>
          <w:vertAlign w:val="subscript"/>
        </w:rPr>
        <w:t>i</w:t>
      </w:r>
      <w:proofErr w:type="spellEnd"/>
      <w:r>
        <w:t xml:space="preserve"> </w:t>
      </w:r>
      <w:r w:rsidR="00A8201D">
        <w:t xml:space="preserve">= </w:t>
      </w:r>
      <w:r w:rsidRPr="009B203E">
        <w:rPr>
          <w:i/>
        </w:rPr>
        <w:t>L</w:t>
      </w:r>
      <w:r w:rsidRPr="00A8201D">
        <w:rPr>
          <w:vertAlign w:val="subscript"/>
        </w:rPr>
        <w:t>i</w:t>
      </w:r>
      <w:proofErr w:type="gramStart"/>
      <w:r w:rsidR="00A8201D">
        <w:rPr>
          <w:vertAlign w:val="subscript"/>
        </w:rPr>
        <w:t>,</w:t>
      </w:r>
      <w:r w:rsidRPr="00A8201D">
        <w:rPr>
          <w:vertAlign w:val="subscript"/>
        </w:rPr>
        <w:t>1</w:t>
      </w:r>
      <w:proofErr w:type="gramEnd"/>
      <w:r>
        <w:t>/</w:t>
      </w:r>
      <w:r w:rsidRPr="009B203E">
        <w:rPr>
          <w:i/>
        </w:rPr>
        <w:t>L</w:t>
      </w:r>
      <w:r w:rsidRPr="00A8201D">
        <w:rPr>
          <w:vertAlign w:val="subscript"/>
        </w:rPr>
        <w:t>i</w:t>
      </w:r>
      <w:r w:rsidR="00A8201D">
        <w:rPr>
          <w:vertAlign w:val="subscript"/>
        </w:rPr>
        <w:t>,</w:t>
      </w:r>
      <w:r w:rsidRPr="00A8201D">
        <w:rPr>
          <w:vertAlign w:val="subscript"/>
        </w:rPr>
        <w:t>2</w:t>
      </w:r>
      <w:r w:rsidR="00A8201D">
        <w:t xml:space="preserve">. Arbitrarily, when the </w:t>
      </w:r>
      <w:r w:rsidR="001C6455">
        <w:t>probability</w:t>
      </w:r>
      <w:r w:rsidR="00A8201D">
        <w:t xml:space="preserve"> ratio exceeded 2 the origin of the tag was imputed as stock 1, the Eastern stock. When the </w:t>
      </w:r>
      <w:r w:rsidR="001C6455">
        <w:t>probability</w:t>
      </w:r>
      <w:r w:rsidR="00A8201D">
        <w:t xml:space="preserve"> ratio was less than 0.5, the origin of the tag was imputed as stock 2, the Western stock.  </w:t>
      </w:r>
    </w:p>
    <w:p w14:paraId="7D4D5D99" w14:textId="77777777" w:rsidR="00A8201D" w:rsidRDefault="00A8201D" w:rsidP="007A013E"/>
    <w:p w14:paraId="2191817A" w14:textId="77777777" w:rsidR="001F6BC1" w:rsidRPr="001F6BC1" w:rsidRDefault="001F6BC1" w:rsidP="001F6BC1"/>
    <w:p w14:paraId="6620F711" w14:textId="09007CE1" w:rsidR="001F6BC1" w:rsidRDefault="001F6BC1" w:rsidP="002F5DBD">
      <w:pPr>
        <w:pStyle w:val="Heading1"/>
      </w:pPr>
      <w:r>
        <w:t>Results</w:t>
      </w:r>
    </w:p>
    <w:p w14:paraId="38184187" w14:textId="77777777" w:rsidR="00945D1D" w:rsidRDefault="00945D1D" w:rsidP="00945D1D"/>
    <w:p w14:paraId="17D60783" w14:textId="760531AD" w:rsidR="00945D1D" w:rsidRDefault="00945D1D" w:rsidP="00945D1D">
      <w:pPr>
        <w:rPr>
          <w:b/>
          <w:i/>
        </w:rPr>
      </w:pPr>
      <w:r>
        <w:t xml:space="preserve">The </w:t>
      </w:r>
      <w:r w:rsidR="0073640F">
        <w:t>imputation model</w:t>
      </w:r>
      <w:r>
        <w:t xml:space="preserve"> incorrectly </w:t>
      </w:r>
      <w:r w:rsidR="0073640F">
        <w:t>classified</w:t>
      </w:r>
      <w:r w:rsidR="001256DA">
        <w:t xml:space="preserve"> </w:t>
      </w:r>
      <w:r w:rsidR="001C6455">
        <w:t>stock-of-origin</w:t>
      </w:r>
      <w:r w:rsidR="001256DA">
        <w:t xml:space="preserve"> in 3% </w:t>
      </w:r>
      <w:r>
        <w:t>of cases</w:t>
      </w:r>
      <w:r w:rsidR="001C6455">
        <w:t xml:space="preserve"> (2 tags)</w:t>
      </w:r>
      <w:r>
        <w:t xml:space="preserve">, correctly </w:t>
      </w:r>
      <w:r w:rsidR="0073640F">
        <w:t>classified</w:t>
      </w:r>
      <w:r>
        <w:t xml:space="preserve"> </w:t>
      </w:r>
      <w:r w:rsidR="001C6455">
        <w:t>stock-of-origin</w:t>
      </w:r>
      <w:r>
        <w:t xml:space="preserve"> in 88% of cases</w:t>
      </w:r>
      <w:r w:rsidR="001C6455">
        <w:t xml:space="preserve"> (59 tags)</w:t>
      </w:r>
      <w:r>
        <w:t xml:space="preserve"> and failed to </w:t>
      </w:r>
      <w:r w:rsidR="0073640F">
        <w:t>classify</w:t>
      </w:r>
      <w:r>
        <w:t xml:space="preserve"> </w:t>
      </w:r>
      <w:r w:rsidR="001C6455">
        <w:t>stock-of-origin</w:t>
      </w:r>
      <w:r w:rsidR="0005109D">
        <w:t xml:space="preserve"> in </w:t>
      </w:r>
      <w:r w:rsidR="001C6455">
        <w:t>9</w:t>
      </w:r>
      <w:r w:rsidR="0005109D">
        <w:t xml:space="preserve">% of cases </w:t>
      </w:r>
      <w:r w:rsidR="001C6455">
        <w:t>(6 tags</w:t>
      </w:r>
      <w:proofErr w:type="gramStart"/>
      <w:r w:rsidR="001C6455">
        <w:t>)</w:t>
      </w:r>
      <w:r w:rsidR="0005109D">
        <w:t>(</w:t>
      </w:r>
      <w:proofErr w:type="gramEnd"/>
      <w:r w:rsidR="0005109D">
        <w:t>Table 1).</w:t>
      </w:r>
    </w:p>
    <w:p w14:paraId="719A4CF4" w14:textId="77777777" w:rsidR="00A8201D" w:rsidRDefault="00A8201D" w:rsidP="00A8201D"/>
    <w:p w14:paraId="478718D6" w14:textId="77777777" w:rsidR="00A8201D" w:rsidRDefault="00A8201D" w:rsidP="00A8201D"/>
    <w:p w14:paraId="2D0DE2FB" w14:textId="20B561B7" w:rsidR="002F5DBD" w:rsidRDefault="00E0013C" w:rsidP="002F5DBD">
      <w:pPr>
        <w:pStyle w:val="Heading1"/>
      </w:pPr>
      <w:r>
        <w:t>Discussion</w:t>
      </w:r>
    </w:p>
    <w:p w14:paraId="4F56CFE2" w14:textId="77777777" w:rsidR="00522D79" w:rsidRDefault="00522D79" w:rsidP="00D60CB4"/>
    <w:p w14:paraId="72F49FA5" w14:textId="591C96A4" w:rsidR="0005109D" w:rsidRDefault="0005109D" w:rsidP="00D35A60">
      <w:r>
        <w:t xml:space="preserve">The results of this </w:t>
      </w:r>
      <w:r w:rsidR="004C5F10">
        <w:t>simplistic</w:t>
      </w:r>
      <w:r>
        <w:t xml:space="preserve"> cross validation</w:t>
      </w:r>
      <w:r w:rsidR="004C5F10">
        <w:t xml:space="preserve"> test</w:t>
      </w:r>
      <w:r>
        <w:t xml:space="preserve"> appear encouraging. This is particularly the case as: (1) the tag track data in the example were very coarsely aggregated by quarter and 10 large ocean areas</w:t>
      </w:r>
      <w:r w:rsidR="0073640F">
        <w:t>,</w:t>
      </w:r>
      <w:r>
        <w:t xml:space="preserve"> (2) the algorithm for imputing </w:t>
      </w:r>
      <w:r w:rsidR="001C6455">
        <w:t>stock-of-origin</w:t>
      </w:r>
      <w:r>
        <w:t xml:space="preserve"> was </w:t>
      </w:r>
      <w:r w:rsidR="004C5F10">
        <w:t xml:space="preserve">a first attempt and </w:t>
      </w:r>
      <w:r>
        <w:t xml:space="preserve">not conditioned or adjusted in any way to improve </w:t>
      </w:r>
      <w:r w:rsidR="001C6455">
        <w:t>the success rate of stock classification</w:t>
      </w:r>
      <w:r w:rsidR="0073640F">
        <w:t xml:space="preserve"> and</w:t>
      </w:r>
      <w:r>
        <w:t xml:space="preserve"> (3) the tag tracks were generally quite short as they removed the majority of transitions that involved natal spawning areas.</w:t>
      </w:r>
    </w:p>
    <w:p w14:paraId="0CD411D5" w14:textId="77777777" w:rsidR="0005109D" w:rsidRDefault="0005109D" w:rsidP="00D35A60"/>
    <w:p w14:paraId="1B818D7F" w14:textId="1B200181" w:rsidR="00D35A60" w:rsidRDefault="0005109D" w:rsidP="00D35A60">
      <w:r>
        <w:t>(1) It would be highly desirable to use much finer resolution data derived empirically from the geolocation error models used to assign tracks to tags. Others (e.g</w:t>
      </w:r>
      <w:r w:rsidR="004C5F10">
        <w:t xml:space="preserve">. </w:t>
      </w:r>
      <w:proofErr w:type="spellStart"/>
      <w:r w:rsidR="00D3775F">
        <w:t>Arregui</w:t>
      </w:r>
      <w:proofErr w:type="spellEnd"/>
      <w:r w:rsidR="004C5F10">
        <w:t xml:space="preserve"> et al. 2015</w:t>
      </w:r>
      <w:r>
        <w:t xml:space="preserve">) have derived defensible movement matrices that might provide a better basis for imputation. </w:t>
      </w:r>
    </w:p>
    <w:p w14:paraId="6B5C7370" w14:textId="77777777" w:rsidR="0005109D" w:rsidRDefault="0005109D" w:rsidP="00D35A60"/>
    <w:p w14:paraId="325CEDF3" w14:textId="3094DD57" w:rsidR="0005109D" w:rsidRDefault="0005109D" w:rsidP="00D35A60">
      <w:r>
        <w:t>(2) The cro</w:t>
      </w:r>
      <w:r w:rsidR="004C5F10">
        <w:t>ss validation shows a</w:t>
      </w:r>
      <w:r>
        <w:t xml:space="preserve"> tendency to </w:t>
      </w:r>
      <w:proofErr w:type="spellStart"/>
      <w:r>
        <w:t>mis</w:t>
      </w:r>
      <w:proofErr w:type="spellEnd"/>
      <w:r w:rsidR="004C5F10">
        <w:t>-</w:t>
      </w:r>
      <w:r>
        <w:t xml:space="preserve">assign </w:t>
      </w:r>
      <w:r w:rsidR="001C6455">
        <w:t>eastern</w:t>
      </w:r>
      <w:r w:rsidR="0073640F">
        <w:t xml:space="preserve"> fish with a western</w:t>
      </w:r>
      <w:r w:rsidR="001C6455">
        <w:t xml:space="preserve"> stock-of-origin</w:t>
      </w:r>
      <w:r w:rsidR="004C5F10">
        <w:t>,</w:t>
      </w:r>
      <w:r>
        <w:t xml:space="preserve"> </w:t>
      </w:r>
      <w:r w:rsidR="0073640F">
        <w:t>which</w:t>
      </w:r>
      <w:r>
        <w:t xml:space="preserve"> may be</w:t>
      </w:r>
      <w:r w:rsidR="0073640F">
        <w:t xml:space="preserve"> </w:t>
      </w:r>
      <w:r w:rsidR="001C6455">
        <w:t>counteracted</w:t>
      </w:r>
      <w:r>
        <w:t xml:space="preserve"> by adjusting the relative stock sizes, </w:t>
      </w:r>
      <w:r w:rsidRPr="0005109D">
        <w:rPr>
          <w:i/>
        </w:rPr>
        <w:t>R</w:t>
      </w:r>
      <w:r>
        <w:t xml:space="preserve">. A more sophisticated alternative would be to undertake the imputation using the estimated stock sizes from the stock assessment models thereby using a time-varying </w:t>
      </w:r>
      <w:r w:rsidR="0073640F">
        <w:t xml:space="preserve">relative stock size, </w:t>
      </w:r>
      <w:r w:rsidRPr="004C5F10">
        <w:rPr>
          <w:i/>
        </w:rPr>
        <w:t>R</w:t>
      </w:r>
      <w:r>
        <w:t xml:space="preserve"> for each stock. The </w:t>
      </w:r>
      <w:r w:rsidR="0073640F">
        <w:t>imputation model</w:t>
      </w:r>
      <w:r>
        <w:t xml:space="preserve"> appears </w:t>
      </w:r>
      <w:r w:rsidR="00BF3885">
        <w:t>to have a higher propensity</w:t>
      </w:r>
      <w:r>
        <w:t xml:space="preserve"> to </w:t>
      </w:r>
      <w:r w:rsidR="0073640F">
        <w:t>classify</w:t>
      </w:r>
      <w:r>
        <w:t xml:space="preserve"> unknown origin (</w:t>
      </w:r>
      <w:proofErr w:type="gramStart"/>
      <w:r>
        <w:t>likelihood  ratios</w:t>
      </w:r>
      <w:proofErr w:type="gramEnd"/>
      <w:r>
        <w:t xml:space="preserve"> </w:t>
      </w:r>
      <w:r w:rsidRPr="004C5F10">
        <w:rPr>
          <w:i/>
        </w:rPr>
        <w:t>LR</w:t>
      </w:r>
      <w:r>
        <w:t xml:space="preserve"> </w:t>
      </w:r>
      <w:r w:rsidR="0073640F">
        <w:t>between 0.5 and 2) than incorrectly classify</w:t>
      </w:r>
      <w:r>
        <w:t xml:space="preserve"> </w:t>
      </w:r>
      <w:r w:rsidR="001C6455">
        <w:t>stock-of-origin</w:t>
      </w:r>
      <w:r>
        <w:t>. Depending on priorities</w:t>
      </w:r>
      <w:r w:rsidR="004C5F10">
        <w:t>,</w:t>
      </w:r>
      <w:r w:rsidR="0073640F">
        <w:t xml:space="preserve"> the ratio </w:t>
      </w:r>
      <w:r>
        <w:t xml:space="preserve">of </w:t>
      </w:r>
      <w:r w:rsidR="0073640F">
        <w:t>error</w:t>
      </w:r>
      <w:r>
        <w:t xml:space="preserve"> to non-</w:t>
      </w:r>
      <w:r w:rsidR="0073640F">
        <w:t>classification</w:t>
      </w:r>
      <w:r>
        <w:t xml:space="preserve"> rate</w:t>
      </w:r>
      <w:r w:rsidR="0073640F">
        <w:t>s</w:t>
      </w:r>
      <w:r>
        <w:t xml:space="preserve"> </w:t>
      </w:r>
      <w:r w:rsidR="000A74D7">
        <w:t xml:space="preserve">(perhaps not assigning </w:t>
      </w:r>
      <w:r w:rsidR="001C6455">
        <w:t>stock-of-origin</w:t>
      </w:r>
      <w:r w:rsidR="000A74D7">
        <w:t xml:space="preserve"> is more </w:t>
      </w:r>
      <w:r w:rsidR="004C5F10">
        <w:t>acceptable</w:t>
      </w:r>
      <w:r w:rsidR="000A74D7">
        <w:t xml:space="preserve"> than </w:t>
      </w:r>
      <w:r w:rsidR="0073640F">
        <w:t>erroneously</w:t>
      </w:r>
      <w:r w:rsidR="000A74D7">
        <w:t xml:space="preserve"> assigning </w:t>
      </w:r>
      <w:r w:rsidR="001C6455">
        <w:t>stock-of-origin</w:t>
      </w:r>
      <w:r w:rsidR="000A74D7">
        <w:t xml:space="preserve">) </w:t>
      </w:r>
      <w:r>
        <w:t xml:space="preserve">could be adjusted by altering the bounds of the </w:t>
      </w:r>
      <w:r w:rsidR="0073640F">
        <w:t>probability</w:t>
      </w:r>
      <w:r>
        <w:t xml:space="preserve"> ratios used to assign </w:t>
      </w:r>
      <w:r w:rsidR="001C6455">
        <w:t>stock-of-origin</w:t>
      </w:r>
      <w:r>
        <w:t xml:space="preserve">. </w:t>
      </w:r>
    </w:p>
    <w:p w14:paraId="62AEE69E" w14:textId="77777777" w:rsidR="0005109D" w:rsidRDefault="0005109D" w:rsidP="00D35A60"/>
    <w:p w14:paraId="348FD46D" w14:textId="69C16C9F" w:rsidR="00BF3885" w:rsidRDefault="00BF3885" w:rsidP="00D35A60">
      <w:r>
        <w:t xml:space="preserve">(3) It would be desirable to test the imputation algorithm using electronic tag tracks that have </w:t>
      </w:r>
      <w:r w:rsidR="001C6455">
        <w:t>stock-of-origin</w:t>
      </w:r>
      <w:r>
        <w:t xml:space="preserve"> assigned by covariate data (e.g. otolith microchemistry). These data may include tags of </w:t>
      </w:r>
      <w:r w:rsidR="0026117F">
        <w:t>with a greater number of transition observations (longer tag track)</w:t>
      </w:r>
      <w:r>
        <w:t xml:space="preserve"> since at least one transition to a known natal spawning area does not have to be removed for each tag for the purposes of cross validation. </w:t>
      </w:r>
    </w:p>
    <w:p w14:paraId="54C1DB60" w14:textId="77777777" w:rsidR="00BF3885" w:rsidRDefault="00BF3885" w:rsidP="00D35A60"/>
    <w:p w14:paraId="730C3EF6" w14:textId="77F7A765" w:rsidR="004C5F10" w:rsidRDefault="00BF3885" w:rsidP="00D35A60">
      <w:r>
        <w:t xml:space="preserve">There are </w:t>
      </w:r>
      <w:r w:rsidR="0026117F">
        <w:t xml:space="preserve">however </w:t>
      </w:r>
      <w:r>
        <w:t xml:space="preserve">various reasons why the results </w:t>
      </w:r>
      <w:r w:rsidR="0026117F">
        <w:t>of the cross-validation</w:t>
      </w:r>
      <w:r>
        <w:t xml:space="preserve"> above may overstate the</w:t>
      </w:r>
      <w:r w:rsidR="0026117F">
        <w:t xml:space="preserve"> stock classification</w:t>
      </w:r>
      <w:r>
        <w:t xml:space="preserve"> </w:t>
      </w:r>
      <w:r w:rsidR="000A74D7">
        <w:t>success rate</w:t>
      </w:r>
      <w:r>
        <w:t xml:space="preserve"> of the imputation algorithm. To assume similar</w:t>
      </w:r>
      <w:r w:rsidR="0073640F">
        <w:t xml:space="preserve"> classification</w:t>
      </w:r>
      <w:r>
        <w:t xml:space="preserve"> success rates for other tags of unknown </w:t>
      </w:r>
      <w:r w:rsidR="001C6455">
        <w:t>stock-of-origin</w:t>
      </w:r>
      <w:r>
        <w:t xml:space="preserve"> is to assume that tags which include a transition to a natal spawning area </w:t>
      </w:r>
      <w:r w:rsidR="0073640F">
        <w:t xml:space="preserve">(used in the cross-validation) </w:t>
      </w:r>
      <w:r>
        <w:t>are representative of all tags</w:t>
      </w:r>
      <w:r w:rsidR="0073640F">
        <w:t xml:space="preserve"> (for which stock of origin is not known)</w:t>
      </w:r>
      <w:r>
        <w:t xml:space="preserve">. This </w:t>
      </w:r>
      <w:r w:rsidR="004C5F10">
        <w:t>is a dubious</w:t>
      </w:r>
      <w:r w:rsidR="0026117F">
        <w:t xml:space="preserve"> assumption</w:t>
      </w:r>
      <w:r>
        <w:t xml:space="preserve">. For one, </w:t>
      </w:r>
      <w:r w:rsidR="0073640F">
        <w:t>the</w:t>
      </w:r>
      <w:r>
        <w:t xml:space="preserve"> tags</w:t>
      </w:r>
      <w:r w:rsidR="0073640F">
        <w:t xml:space="preserve"> used in cross-validation</w:t>
      </w:r>
      <w:r>
        <w:t xml:space="preserve"> include seasonal movements among areas adjacent to </w:t>
      </w:r>
      <w:r>
        <w:lastRenderedPageBreak/>
        <w:t xml:space="preserve">natal spawning areas, a behaviour likely to be highly indicative of </w:t>
      </w:r>
      <w:r w:rsidR="001C6455">
        <w:t>stock-of-origin</w:t>
      </w:r>
      <w:r>
        <w:t xml:space="preserve">. Secondly, fish moving to and from spawning areas are likely to be mature fish whose behaviour is not representative of the foraging behaviour of intermediate age classes (oceanic juvenile fish mixing in the Atlantic for example). </w:t>
      </w:r>
    </w:p>
    <w:p w14:paraId="72DDB816" w14:textId="77777777" w:rsidR="0073640F" w:rsidRDefault="0073640F" w:rsidP="00D35A60"/>
    <w:p w14:paraId="1669E088" w14:textId="081779CE" w:rsidR="00BF3885" w:rsidRDefault="004C5F10" w:rsidP="00D35A60">
      <w:r>
        <w:t xml:space="preserve">Another limitation of the proposed approach is that </w:t>
      </w:r>
      <w:r w:rsidR="00BF3885">
        <w:t xml:space="preserve">the use of discrete movement matrices throws away a great deal of </w:t>
      </w:r>
      <w:r>
        <w:t xml:space="preserve">fine-scale </w:t>
      </w:r>
      <w:proofErr w:type="spellStart"/>
      <w:r>
        <w:t>spatio</w:t>
      </w:r>
      <w:proofErr w:type="spellEnd"/>
      <w:r>
        <w:t xml:space="preserve">-temporal </w:t>
      </w:r>
      <w:r w:rsidR="00BF3885">
        <w:t xml:space="preserve">data. It may be worth investigating multivariate clustering techniques tailored to the </w:t>
      </w:r>
      <w:r w:rsidR="0026117F">
        <w:t>fine-scale (e.g. daily by longitude and latitude)</w:t>
      </w:r>
      <w:r w:rsidR="00BF3885">
        <w:t xml:space="preserve"> tag track data of fish of known </w:t>
      </w:r>
      <w:r w:rsidR="001C6455">
        <w:t>stock-of-origin</w:t>
      </w:r>
      <w:r w:rsidR="00BF3885">
        <w:t xml:space="preserve">. </w:t>
      </w:r>
      <w:r w:rsidR="009B203E">
        <w:t xml:space="preserve">Alternatively the method could be used probabilistically in conjunction with other assignment </w:t>
      </w:r>
      <w:r w:rsidR="009E2D14">
        <w:t xml:space="preserve">methodologies such as </w:t>
      </w:r>
      <w:r w:rsidR="009B203E">
        <w:t xml:space="preserve">otolith microchemistry and otolith shape analysis. </w:t>
      </w:r>
    </w:p>
    <w:p w14:paraId="4439F73E" w14:textId="77777777" w:rsidR="001256DA" w:rsidRDefault="001256DA" w:rsidP="00D35A60"/>
    <w:p w14:paraId="1F4AC4B2" w14:textId="3EEC217F" w:rsidR="001256DA" w:rsidRDefault="009E2D14" w:rsidP="00D35A60">
      <w:r>
        <w:t>Regardless of the limitations</w:t>
      </w:r>
      <w:r w:rsidR="001256DA">
        <w:t>, the simple approach here provides a</w:t>
      </w:r>
      <w:r w:rsidR="0073640F">
        <w:t xml:space="preserve"> promising</w:t>
      </w:r>
      <w:r w:rsidR="001256DA">
        <w:t xml:space="preserve"> basis for unlocking a large amount of electronic tagging data for use in multi-stock modelling and the exploration of alternative hypotheses for stock structure and mixing (</w:t>
      </w:r>
      <w:proofErr w:type="spellStart"/>
      <w:r w:rsidR="001256DA">
        <w:t>Arrizabalaga</w:t>
      </w:r>
      <w:proofErr w:type="spellEnd"/>
      <w:r w:rsidR="001256DA">
        <w:t xml:space="preserve"> et al. 2014). </w:t>
      </w:r>
    </w:p>
    <w:p w14:paraId="7444C32D" w14:textId="77777777" w:rsidR="0005109D" w:rsidRPr="00D35A60" w:rsidRDefault="0005109D"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23985B6D" w14:textId="77777777" w:rsidR="00FE0F41" w:rsidRDefault="00951331" w:rsidP="000C05C8">
      <w:pPr>
        <w:spacing w:afterLines="40" w:after="96"/>
        <w:ind w:left="425" w:right="-11" w:hanging="425"/>
      </w:pPr>
      <w:proofErr w:type="spellStart"/>
      <w:r>
        <w:t>Arrizabalaga</w:t>
      </w:r>
      <w:proofErr w:type="spellEnd"/>
      <w:r>
        <w:t xml:space="preserve">, H., </w:t>
      </w:r>
      <w:proofErr w:type="spellStart"/>
      <w:r>
        <w:t>Fromentin</w:t>
      </w:r>
      <w:proofErr w:type="spellEnd"/>
      <w:r>
        <w:t xml:space="preserve">, J.M., </w:t>
      </w:r>
      <w:proofErr w:type="spellStart"/>
      <w:r>
        <w:t>Kell</w:t>
      </w:r>
      <w:proofErr w:type="spellEnd"/>
      <w:r>
        <w:t xml:space="preserve">, L.T., Kerr, L.A., Kimoto, A., Porch, C., </w:t>
      </w:r>
      <w:proofErr w:type="spellStart"/>
      <w:r>
        <w:t>Secor</w:t>
      </w:r>
      <w:proofErr w:type="spellEnd"/>
      <w:r>
        <w:t xml:space="preserve">, D.H. 2014. Population hypotheses and stock assumptions for North Atlantic Bluefin tuna. SCRS/2014/xxx. </w:t>
      </w:r>
    </w:p>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04FE8792" w14:textId="351D9C74" w:rsidR="00D74907" w:rsidRDefault="00D74907" w:rsidP="000C05C8">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 Structure and estimation framework for Atlantic bluefin tuna operating models. ICCAT SCRS/2015/179. </w:t>
      </w:r>
    </w:p>
    <w:p w14:paraId="53F43D43" w14:textId="5BDF1C50" w:rsidR="008833BD" w:rsidRPr="00644C5B" w:rsidRDefault="008833BD" w:rsidP="008833BD">
      <w:pPr>
        <w:spacing w:afterLines="40" w:after="96"/>
        <w:ind w:left="425" w:right="-11" w:hanging="425"/>
      </w:pPr>
      <w:proofErr w:type="spellStart"/>
      <w:r>
        <w:t>Cermeno</w:t>
      </w:r>
      <w:proofErr w:type="spellEnd"/>
      <w:r>
        <w:t xml:space="preserve">, P., </w:t>
      </w:r>
      <w:proofErr w:type="spellStart"/>
      <w:r>
        <w:t>Quilez-Badia</w:t>
      </w:r>
      <w:proofErr w:type="spellEnd"/>
      <w:r>
        <w:t xml:space="preserve">, G., </w:t>
      </w:r>
      <w:proofErr w:type="spellStart"/>
      <w:r>
        <w:t>Ospina</w:t>
      </w:r>
      <w:proofErr w:type="spellEnd"/>
      <w:r>
        <w:t xml:space="preserve">-Alvarez, A., </w:t>
      </w:r>
      <w:proofErr w:type="spellStart"/>
      <w:r>
        <w:t>Sainz</w:t>
      </w:r>
      <w:proofErr w:type="spellEnd"/>
      <w:r>
        <w:t xml:space="preserve">-Trapaga, S., </w:t>
      </w:r>
      <w:proofErr w:type="spellStart"/>
      <w:r>
        <w:t>Boustany</w:t>
      </w:r>
      <w:proofErr w:type="spellEnd"/>
      <w:r>
        <w:t xml:space="preserve">, A., Seitz, A.C., </w:t>
      </w:r>
      <w:proofErr w:type="spellStart"/>
      <w:r>
        <w:t>Tudela</w:t>
      </w:r>
      <w:proofErr w:type="spellEnd"/>
      <w:r>
        <w:t>, S., Block, B.A. 2015. Electronic tagging of Atlantic bluefin tuna (</w:t>
      </w:r>
      <w:proofErr w:type="spellStart"/>
      <w:r>
        <w:rPr>
          <w:i/>
        </w:rPr>
        <w:t>Thunnus</w:t>
      </w:r>
      <w:proofErr w:type="spellEnd"/>
      <w:r>
        <w:rPr>
          <w:i/>
        </w:rPr>
        <w:t xml:space="preserve"> </w:t>
      </w:r>
      <w:proofErr w:type="spellStart"/>
      <w:r>
        <w:rPr>
          <w:i/>
        </w:rPr>
        <w:t>thynnus</w:t>
      </w:r>
      <w:proofErr w:type="spellEnd"/>
      <w:r>
        <w:rPr>
          <w:i/>
        </w:rPr>
        <w:t xml:space="preserve">, </w:t>
      </w:r>
      <w:r>
        <w:t xml:space="preserve">L.) reveals habitat use and behaviors in the Mediterranean Sea. </w:t>
      </w:r>
      <w:proofErr w:type="spellStart"/>
      <w:r>
        <w:t>PLoS</w:t>
      </w:r>
      <w:proofErr w:type="spellEnd"/>
      <w:r>
        <w:t xml:space="preserve"> ONE 10 (2): e0116638. </w:t>
      </w:r>
      <w:proofErr w:type="spellStart"/>
      <w:proofErr w:type="gramStart"/>
      <w:r>
        <w:t>doi</w:t>
      </w:r>
      <w:proofErr w:type="spellEnd"/>
      <w:proofErr w:type="gramEnd"/>
      <w:r>
        <w:t>:</w:t>
      </w:r>
      <w:r w:rsidRPr="00644C5B">
        <w:t xml:space="preserve"> 0.1371/journal.pone.0116638</w:t>
      </w:r>
      <w:r>
        <w:t>.</w:t>
      </w:r>
    </w:p>
    <w:p w14:paraId="41964CDB" w14:textId="1D8E0FA1" w:rsidR="00D3775F" w:rsidRDefault="00D3775F" w:rsidP="000C05C8">
      <w:pPr>
        <w:spacing w:afterLines="40" w:after="96"/>
        <w:ind w:left="425" w:right="-11" w:hanging="425"/>
      </w:pPr>
      <w:proofErr w:type="spellStart"/>
      <w:r w:rsidRPr="00D3775F">
        <w:t>Arregui</w:t>
      </w:r>
      <w:proofErr w:type="spellEnd"/>
      <w:r w:rsidRPr="00D3775F">
        <w:t xml:space="preserve"> I., </w:t>
      </w:r>
      <w:proofErr w:type="spellStart"/>
      <w:r w:rsidRPr="00D3775F">
        <w:t>Galuardi</w:t>
      </w:r>
      <w:proofErr w:type="spellEnd"/>
      <w:r w:rsidRPr="00D3775F">
        <w:t xml:space="preserve"> B., </w:t>
      </w:r>
      <w:proofErr w:type="spellStart"/>
      <w:r w:rsidRPr="00D3775F">
        <w:t>Goñi</w:t>
      </w:r>
      <w:proofErr w:type="spellEnd"/>
      <w:r w:rsidRPr="00D3775F">
        <w:t xml:space="preserve"> N., </w:t>
      </w:r>
      <w:proofErr w:type="spellStart"/>
      <w:r w:rsidRPr="00D3775F">
        <w:t>Arrizabalaga</w:t>
      </w:r>
      <w:proofErr w:type="spellEnd"/>
      <w:r w:rsidRPr="00D3775F">
        <w:t xml:space="preserve"> H., Lam C.H., </w:t>
      </w:r>
      <w:proofErr w:type="spellStart"/>
      <w:r w:rsidRPr="00D3775F">
        <w:t>Fraile</w:t>
      </w:r>
      <w:proofErr w:type="spellEnd"/>
      <w:r w:rsidRPr="00D3775F">
        <w:t xml:space="preserve"> I., Santiago J. and </w:t>
      </w:r>
      <w:proofErr w:type="spellStart"/>
      <w:r w:rsidRPr="00D3775F">
        <w:t>Lutcavage</w:t>
      </w:r>
      <w:proofErr w:type="spellEnd"/>
      <w:r w:rsidRPr="00D3775F">
        <w:t xml:space="preserve"> M.</w:t>
      </w:r>
      <w:r>
        <w:t xml:space="preserve"> 2015.</w:t>
      </w:r>
      <w:r w:rsidRPr="00D3775F">
        <w:t>Movements and geographic distribution of juvenile bluefin tunas in the North Atlantic, described through electronic tags</w:t>
      </w:r>
      <w:r>
        <w:t xml:space="preserve">. SCRS/2015/044. </w:t>
      </w:r>
    </w:p>
    <w:p w14:paraId="5EA41C7D" w14:textId="77777777" w:rsidR="00857B60" w:rsidRDefault="00857B60" w:rsidP="00857B60">
      <w:pPr>
        <w:spacing w:afterLines="40" w:after="96"/>
        <w:ind w:left="425" w:right="-11" w:hanging="425"/>
      </w:pPr>
      <w:proofErr w:type="spellStart"/>
      <w:r>
        <w:t>Lutcavage</w:t>
      </w:r>
      <w:proofErr w:type="spellEnd"/>
      <w:r>
        <w:t xml:space="preserve">, M.E., </w:t>
      </w:r>
      <w:proofErr w:type="spellStart"/>
      <w:r>
        <w:t>Galuardi</w:t>
      </w:r>
      <w:proofErr w:type="spellEnd"/>
      <w:r>
        <w:t xml:space="preserve">, B., Lam, T.C.H. 2012. Predicting potential Atlantic spawning grounds of western Atlantic bluefin tuna based on electronic tagging results, 2002-2011. Col. Vol. Sci. Pap. ICCAT. 69(2): 955-961. </w:t>
      </w:r>
    </w:p>
    <w:p w14:paraId="58E5CD3D" w14:textId="77777777" w:rsidR="00857B60" w:rsidRDefault="00857B60" w:rsidP="00857B60">
      <w:pPr>
        <w:spacing w:afterLines="40" w:after="96"/>
        <w:ind w:left="425" w:right="-11" w:hanging="425"/>
      </w:pPr>
      <w:r>
        <w:t xml:space="preserve">Block, B., A., </w:t>
      </w:r>
      <w:proofErr w:type="spellStart"/>
      <w:r>
        <w:t>Teo</w:t>
      </w:r>
      <w:proofErr w:type="spellEnd"/>
      <w:r>
        <w:t xml:space="preserve">, S.L.H., </w:t>
      </w:r>
      <w:proofErr w:type="spellStart"/>
      <w:r>
        <w:t>Walli</w:t>
      </w:r>
      <w:proofErr w:type="spellEnd"/>
      <w:r>
        <w:t xml:space="preserve">, A., </w:t>
      </w:r>
      <w:proofErr w:type="spellStart"/>
      <w:r>
        <w:t>Boustany</w:t>
      </w:r>
      <w:proofErr w:type="spellEnd"/>
      <w:r>
        <w:t xml:space="preserve">, A., </w:t>
      </w:r>
      <w:proofErr w:type="spellStart"/>
      <w:r>
        <w:t>Stokesbury</w:t>
      </w:r>
      <w:proofErr w:type="spellEnd"/>
      <w:r>
        <w:t xml:space="preserve">, M.J.W., Farwell, C.J., </w:t>
      </w:r>
      <w:proofErr w:type="spellStart"/>
      <w:r>
        <w:t>Weng</w:t>
      </w:r>
      <w:proofErr w:type="spellEnd"/>
      <w:r>
        <w:t xml:space="preserve">, K.C., Heidi, D., Williams, </w:t>
      </w:r>
      <w:proofErr w:type="gramStart"/>
      <w:r>
        <w:t>T.D</w:t>
      </w:r>
      <w:proofErr w:type="gramEnd"/>
      <w:r>
        <w:t xml:space="preserve">. 2005. Electronic tagging and population structure of Atlantic bluefin tuna. Nature. 434: 1121-1127. </w:t>
      </w:r>
    </w:p>
    <w:p w14:paraId="25F0ADB2" w14:textId="77777777" w:rsidR="00857B60" w:rsidRDefault="00857B60" w:rsidP="00532620">
      <w:pPr>
        <w:rPr>
          <w:rFonts w:cs="Times New Roman"/>
          <w:szCs w:val="20"/>
        </w:rPr>
      </w:pPr>
    </w:p>
    <w:p w14:paraId="11CABAF6" w14:textId="77777777" w:rsidR="001256DA" w:rsidRDefault="001256DA" w:rsidP="00532620">
      <w:pPr>
        <w:rPr>
          <w:rFonts w:cs="Times New Roman"/>
          <w:szCs w:val="20"/>
        </w:rPr>
      </w:pPr>
    </w:p>
    <w:p w14:paraId="1F2E63FB" w14:textId="77777777" w:rsidR="001256DA" w:rsidRPr="00A8201D" w:rsidRDefault="001256DA" w:rsidP="001256DA">
      <w:pPr>
        <w:pStyle w:val="Heading2"/>
        <w:numPr>
          <w:ilvl w:val="0"/>
          <w:numId w:val="0"/>
        </w:numPr>
        <w:ind w:left="576" w:hanging="576"/>
        <w:rPr>
          <w:b w:val="0"/>
          <w:i w:val="0"/>
        </w:rPr>
      </w:pPr>
      <w:r w:rsidRPr="001256DA">
        <w:rPr>
          <w:i w:val="0"/>
        </w:rPr>
        <w:t>Table 1</w:t>
      </w:r>
      <w:r w:rsidRPr="00A8201D">
        <w:rPr>
          <w:b w:val="0"/>
          <w:i w:val="0"/>
        </w:rPr>
        <w:t xml:space="preserve">. Results of the </w:t>
      </w:r>
      <w:r>
        <w:rPr>
          <w:b w:val="0"/>
          <w:i w:val="0"/>
        </w:rPr>
        <w:t xml:space="preserve">‘leave one out’ </w:t>
      </w:r>
      <w:r w:rsidRPr="00A8201D">
        <w:rPr>
          <w:b w:val="0"/>
          <w:i w:val="0"/>
        </w:rPr>
        <w:t>cross validation</w:t>
      </w:r>
    </w:p>
    <w:p w14:paraId="51BE682D" w14:textId="77777777" w:rsidR="001256DA" w:rsidRDefault="001256DA" w:rsidP="001256DA">
      <w:pPr>
        <w:pStyle w:val="Heading2"/>
        <w:numPr>
          <w:ilvl w:val="0"/>
          <w:numId w:val="0"/>
        </w:numPr>
        <w:spacing w:before="0"/>
        <w:ind w:left="576" w:hanging="576"/>
      </w:pPr>
      <w:r w:rsidRPr="00945D1D">
        <w:rPr>
          <w:noProof/>
          <w:lang w:eastAsia="en-CA"/>
        </w:rPr>
        <w:drawing>
          <wp:inline distT="0" distB="0" distL="0" distR="0" wp14:anchorId="10AF77F1" wp14:editId="055FBD45">
            <wp:extent cx="1935480" cy="1771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1771662"/>
                    </a:xfrm>
                    <a:prstGeom prst="rect">
                      <a:avLst/>
                    </a:prstGeom>
                    <a:noFill/>
                    <a:ln>
                      <a:noFill/>
                    </a:ln>
                  </pic:spPr>
                </pic:pic>
              </a:graphicData>
            </a:graphic>
          </wp:inline>
        </w:drawing>
      </w:r>
    </w:p>
    <w:p w14:paraId="29731C53" w14:textId="77777777" w:rsidR="001256DA" w:rsidRDefault="001256DA" w:rsidP="00532620">
      <w:pPr>
        <w:rPr>
          <w:rFonts w:cs="Times New Roman"/>
          <w:szCs w:val="20"/>
        </w:rPr>
      </w:pPr>
    </w:p>
    <w:p w14:paraId="40127564" w14:textId="77777777" w:rsidR="001256DA" w:rsidRDefault="001256DA" w:rsidP="00532620">
      <w:pPr>
        <w:rPr>
          <w:rFonts w:cs="Times New Roman"/>
          <w:szCs w:val="20"/>
        </w:rPr>
      </w:pPr>
    </w:p>
    <w:p w14:paraId="3C829010" w14:textId="4C07EB20" w:rsidR="000C33E3" w:rsidRDefault="00DA3073" w:rsidP="006A6C8C">
      <w:pPr>
        <w:keepNext/>
        <w:keepLines/>
      </w:pPr>
      <w:r w:rsidRPr="00DA3073">
        <w:rPr>
          <w:noProof/>
          <w:lang w:eastAsia="en-CA"/>
        </w:rPr>
        <w:lastRenderedPageBreak/>
        <w:t xml:space="preserve"> </w:t>
      </w:r>
      <w:r>
        <w:rPr>
          <w:noProof/>
          <w:lang w:eastAsia="en-CA"/>
        </w:rPr>
        <w:drawing>
          <wp:inline distT="0" distB="0" distL="0" distR="0" wp14:anchorId="2906DAFA" wp14:editId="7504B886">
            <wp:extent cx="2546350" cy="2381534"/>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524" r="2637" b="911"/>
                    <a:stretch/>
                  </pic:blipFill>
                  <pic:spPr bwMode="auto">
                    <a:xfrm>
                      <a:off x="0" y="0"/>
                      <a:ext cx="2579059" cy="2412126"/>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0BAB9686" w14:textId="576B0673" w:rsidR="00CF34C5" w:rsidRDefault="00F25AC3" w:rsidP="006A6C8C">
      <w:pPr>
        <w:keepNext/>
        <w:keepLines/>
      </w:pPr>
      <w:r>
        <w:rPr>
          <w:b/>
        </w:rPr>
        <w:t xml:space="preserve">Figure </w:t>
      </w:r>
      <w:r w:rsidR="00CF34C5" w:rsidRPr="00CF34C5">
        <w:rPr>
          <w:b/>
        </w:rPr>
        <w:t>1.</w:t>
      </w:r>
      <w:r w:rsidR="00DA3073">
        <w:rPr>
          <w:b/>
        </w:rPr>
        <w:t xml:space="preserve"> </w:t>
      </w:r>
      <w:r w:rsidR="00CF34C5">
        <w:t xml:space="preserve"> </w:t>
      </w:r>
      <w:r w:rsidR="00DA3073">
        <w:t xml:space="preserve">The </w:t>
      </w:r>
      <w:r w:rsidR="001256DA">
        <w:t>11</w:t>
      </w:r>
      <w:r w:rsidR="00DA3073">
        <w:t>-area s</w:t>
      </w:r>
      <w:r w:rsidR="00CF34C5">
        <w:t xml:space="preserve">patial definitions of </w:t>
      </w:r>
      <w:r w:rsidR="00DA3073">
        <w:t>latest electronic tagging (Lauretta. pers. comm., right).</w:t>
      </w:r>
      <w:r w:rsidR="001256DA">
        <w:t xml:space="preserve"> In this analysis the two Mediterranean areas were combined into a single area, creating a total of 10 ocean areas. </w:t>
      </w:r>
      <w:r w:rsidR="00DA3073">
        <w:t xml:space="preserve"> </w:t>
      </w:r>
    </w:p>
    <w:sectPr w:rsidR="00CF34C5" w:rsidSect="004756EC">
      <w:headerReference w:type="first" r:id="rId10"/>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674705A9" w14:textId="5379945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t.carruthers@ocean</w:t>
      </w:r>
      <w:r w:rsidRPr="000934A5">
        <w:rPr>
          <w:sz w:val="18"/>
          <w:szCs w:val="18"/>
        </w:rPr>
        <w:t>s.ubc.ca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DE31" w14:textId="7C9258A1" w:rsidR="00042CBB" w:rsidRDefault="000E47FD" w:rsidP="00532620">
    <w:pPr>
      <w:pStyle w:val="Header"/>
    </w:pPr>
    <w:r>
      <w:t>SCRS/2016</w:t>
    </w:r>
    <w:r w:rsidR="00042CBB">
      <w:t>/</w:t>
    </w:r>
    <w:r w:rsidR="0073640F">
      <w:t>205</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109D"/>
    <w:rsid w:val="00055D6E"/>
    <w:rsid w:val="00056C23"/>
    <w:rsid w:val="000653A6"/>
    <w:rsid w:val="00067A24"/>
    <w:rsid w:val="0008077F"/>
    <w:rsid w:val="00080DA7"/>
    <w:rsid w:val="00081C2C"/>
    <w:rsid w:val="00084F94"/>
    <w:rsid w:val="000934A5"/>
    <w:rsid w:val="00093AFC"/>
    <w:rsid w:val="00094003"/>
    <w:rsid w:val="0009646D"/>
    <w:rsid w:val="0009732A"/>
    <w:rsid w:val="000A0737"/>
    <w:rsid w:val="000A74D7"/>
    <w:rsid w:val="000A76F9"/>
    <w:rsid w:val="000B5BE3"/>
    <w:rsid w:val="000C05C8"/>
    <w:rsid w:val="000C33E3"/>
    <w:rsid w:val="000C50C8"/>
    <w:rsid w:val="000D04AD"/>
    <w:rsid w:val="000D5648"/>
    <w:rsid w:val="000E1796"/>
    <w:rsid w:val="000E26B5"/>
    <w:rsid w:val="000E4153"/>
    <w:rsid w:val="000E47FD"/>
    <w:rsid w:val="000E6A92"/>
    <w:rsid w:val="00100749"/>
    <w:rsid w:val="001078F2"/>
    <w:rsid w:val="001140E8"/>
    <w:rsid w:val="00115297"/>
    <w:rsid w:val="001174AE"/>
    <w:rsid w:val="001256DA"/>
    <w:rsid w:val="00130A5A"/>
    <w:rsid w:val="00131E4A"/>
    <w:rsid w:val="00134F0A"/>
    <w:rsid w:val="001470B2"/>
    <w:rsid w:val="00161EDF"/>
    <w:rsid w:val="00162545"/>
    <w:rsid w:val="00164EA7"/>
    <w:rsid w:val="00167A82"/>
    <w:rsid w:val="00171055"/>
    <w:rsid w:val="001A3E5E"/>
    <w:rsid w:val="001C48D6"/>
    <w:rsid w:val="001C6455"/>
    <w:rsid w:val="001D087F"/>
    <w:rsid w:val="001E4B58"/>
    <w:rsid w:val="001F6BC1"/>
    <w:rsid w:val="002001C1"/>
    <w:rsid w:val="002040E4"/>
    <w:rsid w:val="00210DEC"/>
    <w:rsid w:val="00220820"/>
    <w:rsid w:val="0022570B"/>
    <w:rsid w:val="00225C0D"/>
    <w:rsid w:val="002432F1"/>
    <w:rsid w:val="00254E45"/>
    <w:rsid w:val="00257E20"/>
    <w:rsid w:val="0026117F"/>
    <w:rsid w:val="00261B6D"/>
    <w:rsid w:val="00290FDD"/>
    <w:rsid w:val="002A091D"/>
    <w:rsid w:val="002A330E"/>
    <w:rsid w:val="002B2980"/>
    <w:rsid w:val="002B677A"/>
    <w:rsid w:val="002C26C5"/>
    <w:rsid w:val="002D53D1"/>
    <w:rsid w:val="002E3C7E"/>
    <w:rsid w:val="002E4D73"/>
    <w:rsid w:val="002E5453"/>
    <w:rsid w:val="002F0BD2"/>
    <w:rsid w:val="002F5DBD"/>
    <w:rsid w:val="00303614"/>
    <w:rsid w:val="00314D48"/>
    <w:rsid w:val="003173A4"/>
    <w:rsid w:val="003263DA"/>
    <w:rsid w:val="00344FA6"/>
    <w:rsid w:val="0035416E"/>
    <w:rsid w:val="00364DF5"/>
    <w:rsid w:val="003720A2"/>
    <w:rsid w:val="00372423"/>
    <w:rsid w:val="003747A2"/>
    <w:rsid w:val="00380CA6"/>
    <w:rsid w:val="0038115E"/>
    <w:rsid w:val="0039034E"/>
    <w:rsid w:val="003923A6"/>
    <w:rsid w:val="0039736D"/>
    <w:rsid w:val="003976A0"/>
    <w:rsid w:val="003B284A"/>
    <w:rsid w:val="003B3485"/>
    <w:rsid w:val="003B3A82"/>
    <w:rsid w:val="003B5FF7"/>
    <w:rsid w:val="003C03A3"/>
    <w:rsid w:val="003C4CB6"/>
    <w:rsid w:val="003C506D"/>
    <w:rsid w:val="003E40ED"/>
    <w:rsid w:val="003E4FCD"/>
    <w:rsid w:val="003E5F26"/>
    <w:rsid w:val="003F373C"/>
    <w:rsid w:val="00401491"/>
    <w:rsid w:val="004317EA"/>
    <w:rsid w:val="00431E5A"/>
    <w:rsid w:val="00432337"/>
    <w:rsid w:val="004470FD"/>
    <w:rsid w:val="00464908"/>
    <w:rsid w:val="00464EFF"/>
    <w:rsid w:val="004713B1"/>
    <w:rsid w:val="004756EC"/>
    <w:rsid w:val="004777D4"/>
    <w:rsid w:val="0048083A"/>
    <w:rsid w:val="00480F99"/>
    <w:rsid w:val="00482486"/>
    <w:rsid w:val="00483C1F"/>
    <w:rsid w:val="00494985"/>
    <w:rsid w:val="00497C25"/>
    <w:rsid w:val="004A0CAE"/>
    <w:rsid w:val="004A4FB1"/>
    <w:rsid w:val="004B4540"/>
    <w:rsid w:val="004B78AA"/>
    <w:rsid w:val="004C5F10"/>
    <w:rsid w:val="004C73F2"/>
    <w:rsid w:val="004D02A3"/>
    <w:rsid w:val="004D0836"/>
    <w:rsid w:val="004E17B7"/>
    <w:rsid w:val="004E3BA9"/>
    <w:rsid w:val="004E581E"/>
    <w:rsid w:val="004F2B7B"/>
    <w:rsid w:val="004F2E5E"/>
    <w:rsid w:val="004F5D3E"/>
    <w:rsid w:val="005002CF"/>
    <w:rsid w:val="0050335F"/>
    <w:rsid w:val="00510971"/>
    <w:rsid w:val="00511CD7"/>
    <w:rsid w:val="00522D79"/>
    <w:rsid w:val="00532620"/>
    <w:rsid w:val="00533448"/>
    <w:rsid w:val="0054232D"/>
    <w:rsid w:val="005437D9"/>
    <w:rsid w:val="0054419F"/>
    <w:rsid w:val="00550C43"/>
    <w:rsid w:val="0055151B"/>
    <w:rsid w:val="00564D64"/>
    <w:rsid w:val="005650BF"/>
    <w:rsid w:val="005739D3"/>
    <w:rsid w:val="005762FD"/>
    <w:rsid w:val="00576762"/>
    <w:rsid w:val="005826EB"/>
    <w:rsid w:val="005871A1"/>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44C5B"/>
    <w:rsid w:val="00664465"/>
    <w:rsid w:val="00675895"/>
    <w:rsid w:val="00685503"/>
    <w:rsid w:val="00685691"/>
    <w:rsid w:val="006A6C8C"/>
    <w:rsid w:val="006A7E40"/>
    <w:rsid w:val="006B6F0D"/>
    <w:rsid w:val="006C5735"/>
    <w:rsid w:val="006C6862"/>
    <w:rsid w:val="006E29AC"/>
    <w:rsid w:val="006E4B5F"/>
    <w:rsid w:val="006E5BE6"/>
    <w:rsid w:val="006E77F7"/>
    <w:rsid w:val="006F30E4"/>
    <w:rsid w:val="006F4A4C"/>
    <w:rsid w:val="007022A4"/>
    <w:rsid w:val="007062FC"/>
    <w:rsid w:val="007114C1"/>
    <w:rsid w:val="00715388"/>
    <w:rsid w:val="00716E79"/>
    <w:rsid w:val="0072628C"/>
    <w:rsid w:val="007334BB"/>
    <w:rsid w:val="00733AB3"/>
    <w:rsid w:val="0073640F"/>
    <w:rsid w:val="00742069"/>
    <w:rsid w:val="00745B9E"/>
    <w:rsid w:val="00757508"/>
    <w:rsid w:val="007749F6"/>
    <w:rsid w:val="00776CDD"/>
    <w:rsid w:val="00791219"/>
    <w:rsid w:val="007A013E"/>
    <w:rsid w:val="007A3F4B"/>
    <w:rsid w:val="007A7839"/>
    <w:rsid w:val="007B7873"/>
    <w:rsid w:val="007C1C06"/>
    <w:rsid w:val="007C2474"/>
    <w:rsid w:val="007C46DC"/>
    <w:rsid w:val="007C6DC3"/>
    <w:rsid w:val="007C6F24"/>
    <w:rsid w:val="007D027C"/>
    <w:rsid w:val="007D2903"/>
    <w:rsid w:val="007D4877"/>
    <w:rsid w:val="007E7059"/>
    <w:rsid w:val="008072A0"/>
    <w:rsid w:val="00813AA2"/>
    <w:rsid w:val="008365CB"/>
    <w:rsid w:val="00850F72"/>
    <w:rsid w:val="008551EA"/>
    <w:rsid w:val="00855BB1"/>
    <w:rsid w:val="00855C79"/>
    <w:rsid w:val="00857B60"/>
    <w:rsid w:val="008616B9"/>
    <w:rsid w:val="0086191A"/>
    <w:rsid w:val="00864211"/>
    <w:rsid w:val="008642A0"/>
    <w:rsid w:val="00873FC7"/>
    <w:rsid w:val="00876EE9"/>
    <w:rsid w:val="00880F9E"/>
    <w:rsid w:val="008833BD"/>
    <w:rsid w:val="00893193"/>
    <w:rsid w:val="00894973"/>
    <w:rsid w:val="00897095"/>
    <w:rsid w:val="008A150E"/>
    <w:rsid w:val="008A2FBD"/>
    <w:rsid w:val="008C3CDC"/>
    <w:rsid w:val="008D1515"/>
    <w:rsid w:val="008E0334"/>
    <w:rsid w:val="008E5E0C"/>
    <w:rsid w:val="008E62E2"/>
    <w:rsid w:val="00901E12"/>
    <w:rsid w:val="00905E47"/>
    <w:rsid w:val="00906B8D"/>
    <w:rsid w:val="00912187"/>
    <w:rsid w:val="00912EB6"/>
    <w:rsid w:val="00916F2A"/>
    <w:rsid w:val="00933F51"/>
    <w:rsid w:val="00945D1D"/>
    <w:rsid w:val="00951331"/>
    <w:rsid w:val="00952F03"/>
    <w:rsid w:val="00960020"/>
    <w:rsid w:val="00960681"/>
    <w:rsid w:val="00961255"/>
    <w:rsid w:val="009615A4"/>
    <w:rsid w:val="00985752"/>
    <w:rsid w:val="00986B74"/>
    <w:rsid w:val="0099189C"/>
    <w:rsid w:val="009A19DF"/>
    <w:rsid w:val="009A6B0C"/>
    <w:rsid w:val="009B203E"/>
    <w:rsid w:val="009C72C9"/>
    <w:rsid w:val="009E0C4D"/>
    <w:rsid w:val="009E2D14"/>
    <w:rsid w:val="00A10C68"/>
    <w:rsid w:val="00A215AA"/>
    <w:rsid w:val="00A251F1"/>
    <w:rsid w:val="00A31F64"/>
    <w:rsid w:val="00A33F3B"/>
    <w:rsid w:val="00A358A5"/>
    <w:rsid w:val="00A51154"/>
    <w:rsid w:val="00A54837"/>
    <w:rsid w:val="00A56824"/>
    <w:rsid w:val="00A60829"/>
    <w:rsid w:val="00A63733"/>
    <w:rsid w:val="00A6723A"/>
    <w:rsid w:val="00A76E65"/>
    <w:rsid w:val="00A80759"/>
    <w:rsid w:val="00A8201D"/>
    <w:rsid w:val="00A82BF9"/>
    <w:rsid w:val="00A85A82"/>
    <w:rsid w:val="00A87707"/>
    <w:rsid w:val="00A94FD9"/>
    <w:rsid w:val="00AA0CF4"/>
    <w:rsid w:val="00AA5092"/>
    <w:rsid w:val="00AA662A"/>
    <w:rsid w:val="00AB0827"/>
    <w:rsid w:val="00AB5977"/>
    <w:rsid w:val="00AD1903"/>
    <w:rsid w:val="00AD3350"/>
    <w:rsid w:val="00AD5D48"/>
    <w:rsid w:val="00AF0D7B"/>
    <w:rsid w:val="00B0596A"/>
    <w:rsid w:val="00B10132"/>
    <w:rsid w:val="00B167A1"/>
    <w:rsid w:val="00B17CCA"/>
    <w:rsid w:val="00B217AD"/>
    <w:rsid w:val="00B23B8F"/>
    <w:rsid w:val="00B26AAC"/>
    <w:rsid w:val="00B32763"/>
    <w:rsid w:val="00B34E48"/>
    <w:rsid w:val="00B45620"/>
    <w:rsid w:val="00B469B7"/>
    <w:rsid w:val="00B50215"/>
    <w:rsid w:val="00B57376"/>
    <w:rsid w:val="00B67E87"/>
    <w:rsid w:val="00B96C8E"/>
    <w:rsid w:val="00BF285B"/>
    <w:rsid w:val="00BF3885"/>
    <w:rsid w:val="00BF3D0A"/>
    <w:rsid w:val="00C05DCB"/>
    <w:rsid w:val="00C10ECE"/>
    <w:rsid w:val="00C13CE4"/>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2021E"/>
    <w:rsid w:val="00D24E3B"/>
    <w:rsid w:val="00D27EB2"/>
    <w:rsid w:val="00D35A60"/>
    <w:rsid w:val="00D3775F"/>
    <w:rsid w:val="00D41512"/>
    <w:rsid w:val="00D60CB4"/>
    <w:rsid w:val="00D614C3"/>
    <w:rsid w:val="00D62708"/>
    <w:rsid w:val="00D633DD"/>
    <w:rsid w:val="00D67FCA"/>
    <w:rsid w:val="00D7061C"/>
    <w:rsid w:val="00D74907"/>
    <w:rsid w:val="00D948D9"/>
    <w:rsid w:val="00DA2CD0"/>
    <w:rsid w:val="00DA3073"/>
    <w:rsid w:val="00DB0B76"/>
    <w:rsid w:val="00DB4900"/>
    <w:rsid w:val="00DC6DC0"/>
    <w:rsid w:val="00DD133B"/>
    <w:rsid w:val="00DD5ECC"/>
    <w:rsid w:val="00DE7858"/>
    <w:rsid w:val="00DE7B9B"/>
    <w:rsid w:val="00DF42DD"/>
    <w:rsid w:val="00DF4318"/>
    <w:rsid w:val="00E0013C"/>
    <w:rsid w:val="00E043A6"/>
    <w:rsid w:val="00E169B6"/>
    <w:rsid w:val="00E16B97"/>
    <w:rsid w:val="00E24679"/>
    <w:rsid w:val="00E43682"/>
    <w:rsid w:val="00E44C09"/>
    <w:rsid w:val="00E46071"/>
    <w:rsid w:val="00E610E5"/>
    <w:rsid w:val="00E61BCE"/>
    <w:rsid w:val="00E6272D"/>
    <w:rsid w:val="00E62E41"/>
    <w:rsid w:val="00E74C0F"/>
    <w:rsid w:val="00E83F6D"/>
    <w:rsid w:val="00E84286"/>
    <w:rsid w:val="00E9708D"/>
    <w:rsid w:val="00E97182"/>
    <w:rsid w:val="00EC4BE6"/>
    <w:rsid w:val="00EC4C81"/>
    <w:rsid w:val="00ED7359"/>
    <w:rsid w:val="00ED7804"/>
    <w:rsid w:val="00EE22E3"/>
    <w:rsid w:val="00EF1ACD"/>
    <w:rsid w:val="00F16A2B"/>
    <w:rsid w:val="00F16B3D"/>
    <w:rsid w:val="00F17330"/>
    <w:rsid w:val="00F25AC3"/>
    <w:rsid w:val="00F40FE5"/>
    <w:rsid w:val="00F6334C"/>
    <w:rsid w:val="00F637E9"/>
    <w:rsid w:val="00F657BD"/>
    <w:rsid w:val="00F76789"/>
    <w:rsid w:val="00F91ADF"/>
    <w:rsid w:val="00F9468C"/>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D3772AE8-8711-4967-9FFA-8CF3FA4A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F03D9-0428-4AEC-AB02-27BC6AC5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5</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TomFast</dc:creator>
  <cp:lastModifiedBy>Thomas</cp:lastModifiedBy>
  <cp:revision>17</cp:revision>
  <cp:lastPrinted>2016-09-22T20:08:00Z</cp:lastPrinted>
  <dcterms:created xsi:type="dcterms:W3CDTF">2016-08-11T18:13:00Z</dcterms:created>
  <dcterms:modified xsi:type="dcterms:W3CDTF">2016-09-23T15:44:00Z</dcterms:modified>
</cp:coreProperties>
</file>