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C794E" w14:textId="77777777" w:rsidR="00532620" w:rsidRDefault="00532620" w:rsidP="00532620">
      <w:pPr>
        <w:jc w:val="center"/>
        <w:rPr>
          <w:rFonts w:cs="Times New Roman"/>
          <w:b/>
          <w:caps/>
          <w:szCs w:val="20"/>
        </w:rPr>
      </w:pPr>
    </w:p>
    <w:p w14:paraId="6F3664F3" w14:textId="77777777" w:rsidR="00532620" w:rsidRDefault="00532620" w:rsidP="00532620">
      <w:pPr>
        <w:jc w:val="center"/>
        <w:rPr>
          <w:rFonts w:cs="Times New Roman"/>
          <w:b/>
          <w:caps/>
          <w:szCs w:val="20"/>
        </w:rPr>
      </w:pPr>
    </w:p>
    <w:p w14:paraId="14CBA049" w14:textId="53112B05" w:rsidR="00532620" w:rsidRDefault="001A0194" w:rsidP="00532620">
      <w:pPr>
        <w:jc w:val="center"/>
        <w:rPr>
          <w:rFonts w:cs="Times New Roman"/>
          <w:b/>
          <w:caps/>
          <w:szCs w:val="20"/>
        </w:rPr>
      </w:pPr>
      <w:r>
        <w:rPr>
          <w:rFonts w:cs="Times New Roman"/>
          <w:b/>
          <w:caps/>
          <w:szCs w:val="20"/>
        </w:rPr>
        <w:t>A summary of reference operating models for Atlantic bluefin tuna management strategy evaluation</w:t>
      </w:r>
    </w:p>
    <w:p w14:paraId="62D0DA79" w14:textId="77777777" w:rsidR="00532620" w:rsidRPr="00532620" w:rsidRDefault="00532620" w:rsidP="00532620">
      <w:pPr>
        <w:jc w:val="center"/>
        <w:rPr>
          <w:rFonts w:cs="Times New Roman"/>
          <w:b/>
          <w:caps/>
          <w:szCs w:val="20"/>
        </w:rPr>
      </w:pPr>
    </w:p>
    <w:p w14:paraId="663DADF2" w14:textId="7B1B48C8" w:rsidR="004E17B7" w:rsidRPr="00F5545F" w:rsidRDefault="004E17B7" w:rsidP="00F5545F">
      <w:pPr>
        <w:jc w:val="center"/>
        <w:rPr>
          <w:rFonts w:cs="Times New Roman"/>
          <w:szCs w:val="20"/>
          <w:lang w:val="es-ES"/>
        </w:rPr>
      </w:pPr>
      <w:r w:rsidRPr="00F5545F">
        <w:rPr>
          <w:rFonts w:cs="Times New Roman"/>
          <w:szCs w:val="20"/>
          <w:lang w:val="es-ES"/>
        </w:rPr>
        <w:t>Tom Carruthers</w:t>
      </w:r>
      <w:r w:rsidRPr="0083529C">
        <w:rPr>
          <w:rStyle w:val="FootnoteReference"/>
          <w:rFonts w:cs="Times New Roman"/>
          <w:szCs w:val="20"/>
        </w:rPr>
        <w:footnoteReference w:id="1"/>
      </w:r>
    </w:p>
    <w:p w14:paraId="7D36CA49" w14:textId="77777777" w:rsidR="00532620" w:rsidRPr="00F5545F" w:rsidRDefault="00532620" w:rsidP="00532620">
      <w:pPr>
        <w:jc w:val="center"/>
        <w:rPr>
          <w:rFonts w:cs="Times New Roman"/>
          <w:i/>
          <w:szCs w:val="20"/>
          <w:lang w:val="es-ES"/>
        </w:rPr>
      </w:pPr>
    </w:p>
    <w:p w14:paraId="39FB446A" w14:textId="77777777" w:rsidR="00532620" w:rsidRPr="00F5545F" w:rsidRDefault="00532620" w:rsidP="00532620">
      <w:pPr>
        <w:jc w:val="center"/>
        <w:rPr>
          <w:rFonts w:cs="Times New Roman"/>
          <w:i/>
          <w:szCs w:val="20"/>
          <w:lang w:val="es-ES"/>
        </w:rPr>
      </w:pPr>
    </w:p>
    <w:p w14:paraId="777C591E" w14:textId="77777777" w:rsidR="003B5FF7" w:rsidRPr="00B23B8F" w:rsidRDefault="003B5FF7" w:rsidP="00B23B8F">
      <w:pPr>
        <w:jc w:val="center"/>
        <w:rPr>
          <w:i/>
        </w:rPr>
      </w:pPr>
      <w:r w:rsidRPr="00B23B8F">
        <w:rPr>
          <w:i/>
        </w:rPr>
        <w:t>SUMMARY</w:t>
      </w:r>
    </w:p>
    <w:p w14:paraId="7873C017" w14:textId="77777777" w:rsidR="00532620" w:rsidRPr="00532620" w:rsidRDefault="00532620" w:rsidP="00532620">
      <w:pPr>
        <w:jc w:val="center"/>
        <w:rPr>
          <w:rFonts w:cs="Times New Roman"/>
          <w:i/>
          <w:szCs w:val="20"/>
        </w:rPr>
      </w:pPr>
    </w:p>
    <w:p w14:paraId="0B9D3DA7" w14:textId="5D8D88FE" w:rsidR="00043093" w:rsidRDefault="004E09D2" w:rsidP="00043093">
      <w:pPr>
        <w:ind w:left="709" w:right="663"/>
        <w:jc w:val="both"/>
        <w:rPr>
          <w:rFonts w:cs="Times New Roman"/>
          <w:szCs w:val="20"/>
        </w:rPr>
      </w:pPr>
      <w:r>
        <w:rPr>
          <w:rFonts w:cs="Times New Roman"/>
          <w:szCs w:val="20"/>
          <w:highlight w:val="yellow"/>
        </w:rPr>
        <w:t>To do last</w:t>
      </w:r>
    </w:p>
    <w:p w14:paraId="2A52D68F" w14:textId="77777777" w:rsidR="00F17330" w:rsidRDefault="00F17330" w:rsidP="00043093">
      <w:pPr>
        <w:ind w:left="709" w:right="663"/>
        <w:jc w:val="both"/>
        <w:rPr>
          <w:rFonts w:cs="Times New Roman"/>
          <w:i/>
          <w:szCs w:val="20"/>
        </w:rPr>
      </w:pPr>
    </w:p>
    <w:p w14:paraId="46FDE9D7" w14:textId="77777777" w:rsidR="00532620" w:rsidRDefault="00532620" w:rsidP="00532620">
      <w:pPr>
        <w:jc w:val="center"/>
        <w:rPr>
          <w:rFonts w:cs="Times New Roman"/>
          <w:i/>
          <w:szCs w:val="20"/>
        </w:rPr>
      </w:pPr>
      <w:r w:rsidRPr="00532620">
        <w:rPr>
          <w:rFonts w:cs="Times New Roman"/>
          <w:i/>
          <w:szCs w:val="20"/>
        </w:rPr>
        <w:t>KEYWORDS</w:t>
      </w:r>
    </w:p>
    <w:p w14:paraId="1600B84C" w14:textId="77777777" w:rsidR="009A19DF" w:rsidRDefault="009A19DF" w:rsidP="00532620">
      <w:pPr>
        <w:jc w:val="center"/>
        <w:rPr>
          <w:rFonts w:cs="Times New Roman"/>
          <w:i/>
          <w:szCs w:val="20"/>
        </w:rPr>
      </w:pPr>
    </w:p>
    <w:p w14:paraId="34AAF142" w14:textId="4296D94B" w:rsidR="00532620" w:rsidRDefault="00F50153" w:rsidP="00D24E3B">
      <w:pPr>
        <w:ind w:left="709" w:right="663"/>
        <w:jc w:val="center"/>
        <w:rPr>
          <w:rFonts w:cs="Times New Roman"/>
          <w:i/>
          <w:szCs w:val="20"/>
        </w:rPr>
      </w:pPr>
      <w:r>
        <w:rPr>
          <w:rFonts w:cs="Times New Roman"/>
          <w:i/>
          <w:szCs w:val="20"/>
        </w:rPr>
        <w:t>Population dynamics</w:t>
      </w:r>
      <w:r w:rsidR="003E4FCD" w:rsidRPr="00344FA6">
        <w:rPr>
          <w:rFonts w:cs="Times New Roman"/>
          <w:i/>
          <w:szCs w:val="20"/>
        </w:rPr>
        <w:t xml:space="preserve">, </w:t>
      </w:r>
      <w:r w:rsidR="00EB7F5A">
        <w:rPr>
          <w:rFonts w:cs="Times New Roman"/>
          <w:i/>
          <w:szCs w:val="20"/>
        </w:rPr>
        <w:t>migration, movement, bluefin</w:t>
      </w:r>
    </w:p>
    <w:p w14:paraId="1CF64CEB" w14:textId="77777777" w:rsidR="00532620" w:rsidRDefault="00532620" w:rsidP="00532620">
      <w:pPr>
        <w:jc w:val="center"/>
        <w:rPr>
          <w:rFonts w:cs="Times New Roman"/>
          <w:i/>
          <w:szCs w:val="20"/>
        </w:rPr>
      </w:pPr>
    </w:p>
    <w:p w14:paraId="2FF181FA" w14:textId="77777777" w:rsidR="00532620" w:rsidRDefault="00532620" w:rsidP="00532620">
      <w:pPr>
        <w:jc w:val="center"/>
        <w:rPr>
          <w:rFonts w:cs="Times New Roman"/>
          <w:i/>
          <w:szCs w:val="20"/>
        </w:rPr>
      </w:pPr>
    </w:p>
    <w:p w14:paraId="5F142CE9" w14:textId="77777777" w:rsidR="00532620" w:rsidRDefault="00532620" w:rsidP="00532620">
      <w:pPr>
        <w:jc w:val="center"/>
        <w:rPr>
          <w:rFonts w:cs="Times New Roman"/>
          <w:i/>
          <w:szCs w:val="20"/>
        </w:rPr>
      </w:pPr>
    </w:p>
    <w:p w14:paraId="240BBF5D" w14:textId="77777777" w:rsidR="00532620" w:rsidRDefault="00532620" w:rsidP="00532620">
      <w:pPr>
        <w:jc w:val="center"/>
        <w:rPr>
          <w:rFonts w:cs="Times New Roman"/>
          <w:i/>
          <w:szCs w:val="20"/>
        </w:rPr>
      </w:pPr>
    </w:p>
    <w:p w14:paraId="71B908A8" w14:textId="77777777" w:rsidR="00532620" w:rsidRDefault="00532620" w:rsidP="00532620">
      <w:pPr>
        <w:jc w:val="center"/>
        <w:rPr>
          <w:rFonts w:cs="Times New Roman"/>
          <w:i/>
          <w:szCs w:val="20"/>
        </w:rPr>
      </w:pPr>
    </w:p>
    <w:p w14:paraId="628E05DF" w14:textId="77777777" w:rsidR="00532620" w:rsidRDefault="00532620" w:rsidP="00532620">
      <w:pPr>
        <w:jc w:val="center"/>
        <w:rPr>
          <w:rFonts w:cs="Times New Roman"/>
          <w:i/>
          <w:szCs w:val="20"/>
        </w:rPr>
      </w:pPr>
    </w:p>
    <w:p w14:paraId="7D842B20" w14:textId="77777777" w:rsidR="00532620" w:rsidRDefault="00532620" w:rsidP="00532620">
      <w:pPr>
        <w:jc w:val="center"/>
        <w:rPr>
          <w:rFonts w:cs="Times New Roman"/>
          <w:i/>
          <w:szCs w:val="20"/>
        </w:rPr>
      </w:pPr>
    </w:p>
    <w:p w14:paraId="52777923" w14:textId="77777777" w:rsidR="00532620" w:rsidRDefault="00532620" w:rsidP="00532620">
      <w:pPr>
        <w:jc w:val="center"/>
        <w:rPr>
          <w:rFonts w:cs="Times New Roman"/>
          <w:i/>
          <w:szCs w:val="20"/>
        </w:rPr>
      </w:pPr>
    </w:p>
    <w:p w14:paraId="4C6F2023" w14:textId="77777777" w:rsidR="00532620" w:rsidRDefault="00532620" w:rsidP="00532620">
      <w:pPr>
        <w:jc w:val="center"/>
        <w:rPr>
          <w:rFonts w:cs="Times New Roman"/>
          <w:i/>
          <w:szCs w:val="20"/>
        </w:rPr>
      </w:pPr>
    </w:p>
    <w:p w14:paraId="5E30B22F" w14:textId="77777777" w:rsidR="00532620" w:rsidRDefault="00532620" w:rsidP="00532620">
      <w:pPr>
        <w:jc w:val="center"/>
        <w:rPr>
          <w:rFonts w:cs="Times New Roman"/>
          <w:i/>
          <w:szCs w:val="20"/>
        </w:rPr>
      </w:pPr>
    </w:p>
    <w:p w14:paraId="0D309C41" w14:textId="77777777" w:rsidR="00532620" w:rsidRDefault="00532620" w:rsidP="00532620">
      <w:pPr>
        <w:rPr>
          <w:rFonts w:cs="Times New Roman"/>
          <w:i/>
          <w:szCs w:val="20"/>
        </w:rPr>
      </w:pPr>
      <w:r>
        <w:rPr>
          <w:rFonts w:cs="Times New Roman"/>
          <w:i/>
          <w:szCs w:val="20"/>
        </w:rPr>
        <w:br w:type="page"/>
      </w:r>
    </w:p>
    <w:p w14:paraId="1CE721AA" w14:textId="77777777" w:rsidR="00532620" w:rsidRDefault="004756EC" w:rsidP="004756EC">
      <w:pPr>
        <w:pStyle w:val="Heading1"/>
      </w:pPr>
      <w:r>
        <w:lastRenderedPageBreak/>
        <w:t>Introduction</w:t>
      </w:r>
    </w:p>
    <w:p w14:paraId="6A032523" w14:textId="77777777" w:rsidR="004756EC" w:rsidRDefault="004756EC" w:rsidP="004756EC"/>
    <w:p w14:paraId="1D04B294" w14:textId="23F62A10" w:rsidR="00F50153" w:rsidRDefault="00F50153" w:rsidP="00F50153">
      <w:r>
        <w:t>Management Strategy Evaluation (MSE) uses operating models wh</w:t>
      </w:r>
      <w:r w:rsidR="00F33D5F">
        <w:t>ic</w:t>
      </w:r>
      <w:r>
        <w:t>h represent credible hypotheses for population and fishery dynamics to test the performance of prospective management procedures. These management procedures may encompass a wide range of complexity from conventional stock assessments linked to harvest control rules (</w:t>
      </w:r>
      <w:proofErr w:type="spellStart"/>
      <w:r>
        <w:t>Hilborn</w:t>
      </w:r>
      <w:proofErr w:type="spellEnd"/>
      <w:r>
        <w:t xml:space="preserve"> 2003) through to simple empirical management procedures that calculate catch limits directly from resource monitoring data indices (</w:t>
      </w:r>
      <w:proofErr w:type="spellStart"/>
      <w:r>
        <w:t>Geromont</w:t>
      </w:r>
      <w:proofErr w:type="spellEnd"/>
      <w:r>
        <w:t xml:space="preserve"> and Butterworth 2014</w:t>
      </w:r>
      <w:proofErr w:type="gramStart"/>
      <w:r>
        <w:t>a;b</w:t>
      </w:r>
      <w:proofErr w:type="gramEnd"/>
      <w:r>
        <w:t xml:space="preserve">, </w:t>
      </w:r>
      <w:proofErr w:type="spellStart"/>
      <w:r>
        <w:t>Kell</w:t>
      </w:r>
      <w:proofErr w:type="spellEnd"/>
      <w:r>
        <w:t xml:space="preserve"> et al. 2015).</w:t>
      </w:r>
    </w:p>
    <w:p w14:paraId="58439ECC" w14:textId="77777777" w:rsidR="00F50153" w:rsidRDefault="00F50153" w:rsidP="00F50153"/>
    <w:p w14:paraId="5B962860" w14:textId="1C432057" w:rsidR="00F50153" w:rsidRDefault="00F50153" w:rsidP="00F50153">
      <w:r>
        <w:t xml:space="preserve">MSE applications generally develop operating models from stock assessments that are fitted to data </w:t>
      </w:r>
      <w:proofErr w:type="gramStart"/>
      <w:r>
        <w:t>in order to</w:t>
      </w:r>
      <w:proofErr w:type="gramEnd"/>
      <w:r>
        <w:t xml:space="preserve"> ensure that model assumptions and estimated parameters are empirically credible (Punt et al. 2014, e.g. CCSBT 2011). In the case of Atlantic bluefin tuna, such a model requires enough complexity to capture the core uncertainties regarding Atlantic bluefin tuna dynamics (</w:t>
      </w:r>
      <w:proofErr w:type="spellStart"/>
      <w:r>
        <w:t>Fromentin</w:t>
      </w:r>
      <w:proofErr w:type="spellEnd"/>
      <w:r>
        <w:t xml:space="preserve"> et al. 2014, Leach et al. 2014). These include stock structure (</w:t>
      </w:r>
      <w:proofErr w:type="spellStart"/>
      <w:r>
        <w:t>Kell</w:t>
      </w:r>
      <w:proofErr w:type="spellEnd"/>
      <w:r>
        <w:t xml:space="preserve"> et al. 2012), stock mixing, migration (</w:t>
      </w:r>
      <w:proofErr w:type="spellStart"/>
      <w:r>
        <w:t>Fromentin</w:t>
      </w:r>
      <w:proofErr w:type="spellEnd"/>
      <w:r>
        <w:t xml:space="preserve"> and </w:t>
      </w:r>
      <w:proofErr w:type="spellStart"/>
      <w:r>
        <w:t>Lopuszanski</w:t>
      </w:r>
      <w:proofErr w:type="spellEnd"/>
      <w:r>
        <w:t xml:space="preserve"> 2014) and biases in observed data (e.g. annual catch data). </w:t>
      </w:r>
      <w:r w:rsidR="00F33D5F">
        <w:t>T</w:t>
      </w:r>
      <w:r>
        <w:t xml:space="preserve">he model should </w:t>
      </w:r>
      <w:r w:rsidR="00F33D5F">
        <w:t xml:space="preserve">also </w:t>
      </w:r>
      <w:r>
        <w:t xml:space="preserve">be able to accommodate </w:t>
      </w:r>
      <w:r w:rsidR="00F33D5F">
        <w:t>a</w:t>
      </w:r>
      <w:r>
        <w:t xml:space="preserve"> wide range of data that have been collected for Atlantic bluefin tuna including catch rate indices (</w:t>
      </w:r>
      <w:proofErr w:type="spellStart"/>
      <w:r>
        <w:t>Abid</w:t>
      </w:r>
      <w:proofErr w:type="spellEnd"/>
      <w:r>
        <w:t xml:space="preserve"> et al. 2015, Hanke et al. 2015, Kimoto et al. 2015, Lauretta and Brown 2015, Santiago et al. 2015, and Walter 2015), aerial surveys (</w:t>
      </w:r>
      <w:proofErr w:type="spellStart"/>
      <w:r>
        <w:t>Bonhommeau</w:t>
      </w:r>
      <w:proofErr w:type="spellEnd"/>
      <w:r>
        <w:t xml:space="preserve"> et al. 2010), length composition data, larval surveys (Ingram et al. 2015), electronic tagging data (Block et al. 2005) and stock of origin data (</w:t>
      </w:r>
      <w:proofErr w:type="spellStart"/>
      <w:r>
        <w:t>Rooker</w:t>
      </w:r>
      <w:proofErr w:type="spellEnd"/>
      <w:r>
        <w:t xml:space="preserve"> et al. 2014).</w:t>
      </w:r>
    </w:p>
    <w:p w14:paraId="10B9EA1B" w14:textId="4756BA9E" w:rsidR="00F50153" w:rsidRDefault="00F50153" w:rsidP="00F50153"/>
    <w:p w14:paraId="65420AB3" w14:textId="0FFA472A" w:rsidR="00F50153" w:rsidRDefault="00F50153" w:rsidP="00F50153">
      <w:r>
        <w:t>A custom operating model known as M3 (Carruthers et al. 2015</w:t>
      </w:r>
      <w:r w:rsidR="00967A11">
        <w:t>a</w:t>
      </w:r>
      <w:r>
        <w:t xml:space="preserve">) was designed for Atlantic bluefin tuna that could estimate the size, trajectory, </w:t>
      </w:r>
      <w:r w:rsidR="00FD2989">
        <w:t xml:space="preserve">seasonal </w:t>
      </w:r>
      <w:proofErr w:type="spellStart"/>
      <w:r>
        <w:t>spatio</w:t>
      </w:r>
      <w:proofErr w:type="spellEnd"/>
      <w:r>
        <w:t>-temporal distribution and movement</w:t>
      </w:r>
      <w:r w:rsidR="00F33D5F">
        <w:t>,</w:t>
      </w:r>
      <w:r>
        <w:t xml:space="preserve"> </w:t>
      </w:r>
      <w:r w:rsidR="00F33D5F">
        <w:t>simultaneously</w:t>
      </w:r>
      <w:r w:rsidR="00F33D5F">
        <w:t xml:space="preserve"> for</w:t>
      </w:r>
      <w:r>
        <w:t xml:space="preserve"> both the Western and Eastern Atlantic stocks. The </w:t>
      </w:r>
      <w:r w:rsidR="00967A11">
        <w:t xml:space="preserve">M3 </w:t>
      </w:r>
      <w:r>
        <w:t xml:space="preserve">model </w:t>
      </w:r>
      <w:r w:rsidR="00F33D5F">
        <w:t>was fitted to a comprehensive</w:t>
      </w:r>
      <w:r>
        <w:t xml:space="preserve"> range of (</w:t>
      </w:r>
      <w:r w:rsidR="00967A11">
        <w:t>see Carruthers et al. 2015b for summary</w:t>
      </w:r>
      <w:r w:rsidR="00F33D5F">
        <w:t xml:space="preserve"> of operating model data</w:t>
      </w:r>
      <w:r w:rsidR="00967A11">
        <w:t xml:space="preserve">). In this </w:t>
      </w:r>
      <w:proofErr w:type="gramStart"/>
      <w:r w:rsidR="00967A11">
        <w:t>paper</w:t>
      </w:r>
      <w:proofErr w:type="gramEnd"/>
      <w:r w:rsidR="00967A11">
        <w:t xml:space="preserve"> I summarize conditioned M3 models (v1.4) that represent the reference operating models of the propose MSE for Atlantic bluefin tuna.  </w:t>
      </w:r>
    </w:p>
    <w:p w14:paraId="39D0E76A" w14:textId="77777777" w:rsidR="00EB7F5A" w:rsidRDefault="00EB7F5A" w:rsidP="004756EC"/>
    <w:p w14:paraId="2A0890EC" w14:textId="24805A29" w:rsidR="002F5DBD" w:rsidRDefault="003173A4" w:rsidP="002F5DBD">
      <w:pPr>
        <w:pStyle w:val="Heading1"/>
      </w:pPr>
      <w:r>
        <w:t>Methods</w:t>
      </w:r>
    </w:p>
    <w:p w14:paraId="6B0F8D24" w14:textId="4EA68B66" w:rsidR="00D178A4" w:rsidRDefault="00D178A4" w:rsidP="00D178A4"/>
    <w:p w14:paraId="6FD785E3" w14:textId="5A24D890" w:rsidR="0086191A" w:rsidRDefault="00EB7F5A" w:rsidP="00AA0CF4">
      <w:pPr>
        <w:pStyle w:val="Heading2"/>
      </w:pPr>
      <w:r>
        <w:t>Data</w:t>
      </w:r>
    </w:p>
    <w:p w14:paraId="3A384FAC" w14:textId="47B65801" w:rsidR="0086191A" w:rsidRDefault="0086191A" w:rsidP="0086191A"/>
    <w:p w14:paraId="395AE7F2" w14:textId="4F023C47" w:rsidR="00EB7F5A" w:rsidRDefault="00EB7F5A" w:rsidP="0086191A">
      <w:r w:rsidRPr="00EB7F5A">
        <w:rPr>
          <w:highlight w:val="yellow"/>
        </w:rPr>
        <w:t>Data description from Matt</w:t>
      </w:r>
    </w:p>
    <w:p w14:paraId="3C3884BE" w14:textId="2E359C26" w:rsidR="00EB7F5A" w:rsidRDefault="00967A11" w:rsidP="00EB7F5A">
      <w:pPr>
        <w:pStyle w:val="Heading2"/>
      </w:pPr>
      <w:r>
        <w:t>Reference operating models</w:t>
      </w:r>
    </w:p>
    <w:p w14:paraId="59B42E5A" w14:textId="706316A6" w:rsidR="00DF0BF5" w:rsidRDefault="00DF0BF5" w:rsidP="00DF0BF5"/>
    <w:p w14:paraId="2468C3FC" w14:textId="5343359F" w:rsidR="00DF0BF5" w:rsidRPr="00DF0BF5" w:rsidRDefault="00F33D5F" w:rsidP="00F33D5F">
      <w:pPr>
        <w:pStyle w:val="Heading2"/>
      </w:pPr>
      <w:r>
        <w:t>Calculating MSY reference points</w:t>
      </w:r>
    </w:p>
    <w:p w14:paraId="5B99DF37" w14:textId="3E050CA1" w:rsidR="00967A11" w:rsidRPr="00967A11" w:rsidRDefault="00967A11" w:rsidP="00F33D5F">
      <w:pPr>
        <w:pStyle w:val="Heading2"/>
        <w:numPr>
          <w:ilvl w:val="0"/>
          <w:numId w:val="0"/>
        </w:numPr>
      </w:pPr>
    </w:p>
    <w:p w14:paraId="7D4D5D99" w14:textId="5B25D149" w:rsidR="00A8201D" w:rsidRDefault="00A8201D" w:rsidP="007A013E"/>
    <w:p w14:paraId="2191817A" w14:textId="77777777" w:rsidR="001F6BC1" w:rsidRPr="001F6BC1" w:rsidRDefault="001F6BC1" w:rsidP="001F6BC1"/>
    <w:p w14:paraId="6620F711" w14:textId="09007CE1" w:rsidR="001F6BC1" w:rsidRDefault="001F6BC1" w:rsidP="002F5DBD">
      <w:pPr>
        <w:pStyle w:val="Heading1"/>
      </w:pPr>
      <w:r>
        <w:t>Results</w:t>
      </w:r>
    </w:p>
    <w:p w14:paraId="38184187" w14:textId="77777777" w:rsidR="00945D1D" w:rsidRDefault="00945D1D" w:rsidP="00945D1D"/>
    <w:p w14:paraId="16D44214" w14:textId="35854E2B" w:rsidR="007B7D05" w:rsidRDefault="00967A11" w:rsidP="00967A11">
      <w:pPr>
        <w:pStyle w:val="Heading2"/>
      </w:pPr>
      <w:r>
        <w:t>Base operating model predictions</w:t>
      </w:r>
    </w:p>
    <w:p w14:paraId="6EC9245F" w14:textId="586AC1A9" w:rsidR="00967A11" w:rsidRDefault="00967A11" w:rsidP="00A8201D"/>
    <w:p w14:paraId="12945E64" w14:textId="58B7A241" w:rsidR="00967A11" w:rsidRDefault="00967A11" w:rsidP="00967A11">
      <w:pPr>
        <w:pStyle w:val="Heading2"/>
      </w:pPr>
      <w:r>
        <w:t>Variability among reference operating models</w:t>
      </w:r>
    </w:p>
    <w:p w14:paraId="2FE39518" w14:textId="77777777" w:rsidR="00967A11" w:rsidRDefault="00967A11" w:rsidP="00967A11">
      <w:pPr>
        <w:pStyle w:val="ListParagraph"/>
      </w:pPr>
    </w:p>
    <w:p w14:paraId="74B82D88" w14:textId="7059BF19" w:rsidR="00967A11" w:rsidRDefault="00967A11" w:rsidP="00967A11">
      <w:pPr>
        <w:pStyle w:val="Heading2"/>
      </w:pPr>
      <w:r>
        <w:t xml:space="preserve">MSE </w:t>
      </w:r>
      <w:r w:rsidR="00F33D5F">
        <w:t xml:space="preserve">/ </w:t>
      </w:r>
      <w:r>
        <w:t xml:space="preserve">projections </w:t>
      </w:r>
    </w:p>
    <w:p w14:paraId="5302AA86" w14:textId="77777777" w:rsidR="00967A11" w:rsidRDefault="00967A11" w:rsidP="00967A11">
      <w:pPr>
        <w:pStyle w:val="ListParagraph"/>
      </w:pPr>
    </w:p>
    <w:p w14:paraId="21E20C01" w14:textId="77777777" w:rsidR="00030EAE" w:rsidRDefault="00030EAE" w:rsidP="00A8201D"/>
    <w:p w14:paraId="2D0DE2FB" w14:textId="20B561B7" w:rsidR="002F5DBD" w:rsidRDefault="00E0013C" w:rsidP="002F5DBD">
      <w:pPr>
        <w:pStyle w:val="Heading1"/>
      </w:pPr>
      <w:r>
        <w:t>Discussion</w:t>
      </w:r>
    </w:p>
    <w:p w14:paraId="4F56CFE2" w14:textId="77777777" w:rsidR="00522D79" w:rsidRDefault="00522D79" w:rsidP="00D60CB4"/>
    <w:p w14:paraId="71661137" w14:textId="21FB63A4" w:rsidR="00FD2989" w:rsidRDefault="00DF0BF5" w:rsidP="00FD2989">
      <w:pPr>
        <w:pStyle w:val="Heading2"/>
      </w:pPr>
      <w:r>
        <w:t>Model stability and c</w:t>
      </w:r>
      <w:r w:rsidR="00FD2989">
        <w:t>hallenges in the fitting of a multi-stock spatial, seasonal operating model</w:t>
      </w:r>
    </w:p>
    <w:p w14:paraId="471B2A82" w14:textId="77777777" w:rsidR="00FD2989" w:rsidRDefault="00FD2989" w:rsidP="00E74FE2">
      <w:pPr>
        <w:jc w:val="both"/>
      </w:pPr>
    </w:p>
    <w:p w14:paraId="5532EEE3" w14:textId="77777777" w:rsidR="00DF0BF5" w:rsidRDefault="00DF0BF5" w:rsidP="00E74FE2">
      <w:pPr>
        <w:jc w:val="both"/>
      </w:pPr>
    </w:p>
    <w:p w14:paraId="5E4110D9" w14:textId="3E516F98" w:rsidR="00A51701" w:rsidRDefault="00A51701" w:rsidP="00E74FE2">
      <w:pPr>
        <w:jc w:val="both"/>
      </w:pPr>
      <w:r>
        <w:t xml:space="preserve">In many stock assessment settings estimation is complicated by model overparameterization, uninformative data and conflicting data. These problems persist even for the ‘typical assessment’ which has a single area, a single stock and has annual time steps. Fitting seasonal, spatial, </w:t>
      </w:r>
      <w:proofErr w:type="spellStart"/>
      <w:r>
        <w:t>multistock</w:t>
      </w:r>
      <w:proofErr w:type="spellEnd"/>
      <w:r>
        <w:t xml:space="preserve"> operating models for bluefin tuna is particularly challenging because it includes </w:t>
      </w:r>
      <w:proofErr w:type="gramStart"/>
      <w:r>
        <w:t>all of</w:t>
      </w:r>
      <w:proofErr w:type="gramEnd"/>
      <w:r>
        <w:t xml:space="preserve"> the difficulties associated with estimation of the ‘typical </w:t>
      </w:r>
      <w:r>
        <w:lastRenderedPageBreak/>
        <w:t xml:space="preserve">assessment’ but these are multiplied by a host of new challenges arising from the additional complexities of movement estimation and multiple stock structure. </w:t>
      </w:r>
    </w:p>
    <w:p w14:paraId="34F91A6D" w14:textId="77777777" w:rsidR="00A51701" w:rsidRDefault="00A51701" w:rsidP="00E74FE2">
      <w:pPr>
        <w:jc w:val="both"/>
      </w:pPr>
    </w:p>
    <w:p w14:paraId="3830B74E" w14:textId="03374357" w:rsidR="00EB7F5A" w:rsidRDefault="00A51701" w:rsidP="00A51701">
      <w:pPr>
        <w:jc w:val="both"/>
      </w:pPr>
      <w:r>
        <w:t>A very common problem with typical assessments is that there is poor contrast among</w:t>
      </w:r>
    </w:p>
    <w:p w14:paraId="7A1F19C6" w14:textId="2DD516C8" w:rsidR="00A51701" w:rsidRDefault="00A51701" w:rsidP="00A51701">
      <w:pPr>
        <w:jc w:val="both"/>
      </w:pPr>
    </w:p>
    <w:p w14:paraId="3E7DF77B" w14:textId="77777777" w:rsidR="00A51701" w:rsidRPr="00D35A60" w:rsidRDefault="00A51701" w:rsidP="00A51701">
      <w:pPr>
        <w:jc w:val="both"/>
      </w:pPr>
      <w:proofErr w:type="spellStart"/>
      <w:r>
        <w:t>Multstock</w:t>
      </w:r>
      <w:proofErr w:type="spellEnd"/>
      <w:r>
        <w:t xml:space="preserve"> contrast</w:t>
      </w:r>
    </w:p>
    <w:p w14:paraId="4C283B76" w14:textId="77777777" w:rsidR="00A51701" w:rsidRDefault="00A51701" w:rsidP="00A51701">
      <w:pPr>
        <w:jc w:val="both"/>
      </w:pPr>
    </w:p>
    <w:p w14:paraId="4BA15921" w14:textId="018C0CD1" w:rsidR="00A51701" w:rsidRDefault="00A51701" w:rsidP="00A51701">
      <w:pPr>
        <w:jc w:val="both"/>
      </w:pPr>
      <w:r>
        <w:t>Conflicting indices</w:t>
      </w:r>
    </w:p>
    <w:p w14:paraId="74D46D50" w14:textId="77777777" w:rsidR="00A51701" w:rsidRDefault="00A51701" w:rsidP="00A51701">
      <w:pPr>
        <w:jc w:val="both"/>
      </w:pPr>
    </w:p>
    <w:p w14:paraId="45BA9150" w14:textId="504FE3F1" w:rsidR="00FD2989" w:rsidRDefault="00AA540F" w:rsidP="00A51701">
      <w:pPr>
        <w:jc w:val="both"/>
      </w:pPr>
      <w:r>
        <w:t>A significant problem with spatial models is potential for estimating large levels of cryp</w:t>
      </w:r>
      <w:r w:rsidR="00A51701">
        <w:t>tic biomass</w:t>
      </w:r>
      <w:r>
        <w:t xml:space="preserve">: areas where there is no fishing and </w:t>
      </w:r>
      <w:r w:rsidR="00FD2989">
        <w:t>few</w:t>
      </w:r>
      <w:r>
        <w:t xml:space="preserve"> data to suggest that there should not be </w:t>
      </w:r>
      <w:r w:rsidR="00FD2989">
        <w:t>biomass</w:t>
      </w:r>
      <w:r>
        <w:t xml:space="preserve">. This is </w:t>
      </w:r>
      <w:r w:rsidR="005710BC">
        <w:t>an</w:t>
      </w:r>
      <w:r w:rsidR="00FD2989">
        <w:t>a</w:t>
      </w:r>
      <w:r w:rsidR="005710BC">
        <w:t>l</w:t>
      </w:r>
      <w:r w:rsidR="00FD2989">
        <w:t>o</w:t>
      </w:r>
      <w:r w:rsidR="005710BC">
        <w:t>gous to including a second area in the ‘typical’ assessment that has few data. This serves to complicate estimation of the stock size - productivity</w:t>
      </w:r>
      <w:r>
        <w:t xml:space="preserve"> </w:t>
      </w:r>
      <w:r w:rsidR="005710BC">
        <w:t xml:space="preserve">ratio for a single stock </w:t>
      </w:r>
      <w:r w:rsidR="00FD2989">
        <w:t xml:space="preserve">which is multiplied among stocks in the </w:t>
      </w:r>
      <w:r w:rsidR="005710BC">
        <w:t>multi stock assessment</w:t>
      </w:r>
      <w:r w:rsidR="00FD2989">
        <w:t xml:space="preserve"> setting. </w:t>
      </w:r>
    </w:p>
    <w:p w14:paraId="23E88206" w14:textId="29D0E21E" w:rsidR="000F7A58" w:rsidRDefault="000F7A58" w:rsidP="00A51701">
      <w:pPr>
        <w:jc w:val="both"/>
      </w:pPr>
    </w:p>
    <w:p w14:paraId="50D22BF3" w14:textId="77777777" w:rsidR="00FD2989" w:rsidRDefault="00FD2989" w:rsidP="00A51701">
      <w:pPr>
        <w:jc w:val="both"/>
      </w:pPr>
    </w:p>
    <w:p w14:paraId="2B8B45B3" w14:textId="58100571" w:rsidR="00A51701" w:rsidRDefault="00FD2989" w:rsidP="00A51701">
      <w:pPr>
        <w:jc w:val="both"/>
      </w:pPr>
      <w:proofErr w:type="gramStart"/>
      <w:r>
        <w:t>Similarly</w:t>
      </w:r>
      <w:proofErr w:type="gramEnd"/>
      <w:r>
        <w:t xml:space="preserve"> to the typical assessment, recruitment deviations are penalized in the </w:t>
      </w:r>
    </w:p>
    <w:p w14:paraId="79ADA666" w14:textId="15D59BE8" w:rsidR="00FD2989" w:rsidRDefault="00FD2989" w:rsidP="00A51701">
      <w:pPr>
        <w:jc w:val="both"/>
      </w:pPr>
    </w:p>
    <w:p w14:paraId="09C1ED63" w14:textId="77777777" w:rsidR="00FD2989" w:rsidRDefault="00FD2989" w:rsidP="00A51701">
      <w:pPr>
        <w:jc w:val="both"/>
      </w:pPr>
      <w:r>
        <w:t xml:space="preserve">MSY reference points are </w:t>
      </w:r>
    </w:p>
    <w:p w14:paraId="35513C76" w14:textId="77777777" w:rsidR="00FD2989" w:rsidRDefault="00FD2989" w:rsidP="00A51701">
      <w:pPr>
        <w:jc w:val="both"/>
      </w:pPr>
    </w:p>
    <w:p w14:paraId="3ECAC8B5" w14:textId="08894F04" w:rsidR="00FD2989" w:rsidRDefault="00FD2989" w:rsidP="00A51701">
      <w:pPr>
        <w:jc w:val="both"/>
      </w:pPr>
      <w:r>
        <w:t xml:space="preserve">Estimated current stock </w:t>
      </w:r>
    </w:p>
    <w:p w14:paraId="16A8FF42" w14:textId="6C55404B" w:rsidR="00FD2989" w:rsidRDefault="00FD2989" w:rsidP="00A51701">
      <w:pPr>
        <w:jc w:val="both"/>
      </w:pPr>
    </w:p>
    <w:p w14:paraId="1D907BBA" w14:textId="73498294" w:rsidR="00FD2989" w:rsidRDefault="00FD2989" w:rsidP="00A51701">
      <w:pPr>
        <w:jc w:val="both"/>
      </w:pPr>
      <w:r>
        <w:t xml:space="preserve">Fit to </w:t>
      </w:r>
    </w:p>
    <w:p w14:paraId="66235E3A" w14:textId="5EB96555" w:rsidR="00FD2989" w:rsidRDefault="00FD2989" w:rsidP="00A51701">
      <w:pPr>
        <w:jc w:val="both"/>
      </w:pPr>
    </w:p>
    <w:p w14:paraId="097144B9" w14:textId="596634B0" w:rsidR="00DF0BF5" w:rsidRDefault="00DF0BF5" w:rsidP="00A51701">
      <w:pPr>
        <w:jc w:val="both"/>
      </w:pPr>
    </w:p>
    <w:p w14:paraId="72FC0617" w14:textId="77777777" w:rsidR="00DF0BF5" w:rsidRDefault="00DF0BF5" w:rsidP="00DF0BF5">
      <w:pPr>
        <w:jc w:val="both"/>
      </w:pPr>
      <w:r>
        <w:t xml:space="preserve">In </w:t>
      </w:r>
      <w:proofErr w:type="gramStart"/>
      <w:r>
        <w:t>general</w:t>
      </w:r>
      <w:proofErr w:type="gramEnd"/>
      <w:r>
        <w:t xml:space="preserve"> the model was quite unstable regarding the </w:t>
      </w:r>
      <w:proofErr w:type="spellStart"/>
      <w:r>
        <w:t>spatio</w:t>
      </w:r>
      <w:proofErr w:type="spellEnd"/>
      <w:r>
        <w:t xml:space="preserve">-temporal distribution of the stocks. Much greater stock </w:t>
      </w:r>
    </w:p>
    <w:p w14:paraId="410028B7" w14:textId="3E26DA15" w:rsidR="00DF0BF5" w:rsidRDefault="00DF0BF5" w:rsidP="00A51701">
      <w:pPr>
        <w:jc w:val="both"/>
      </w:pPr>
    </w:p>
    <w:p w14:paraId="73893D27" w14:textId="7485A3FA" w:rsidR="00DF0BF5" w:rsidRDefault="008C7FDA" w:rsidP="00A51701">
      <w:pPr>
        <w:jc w:val="both"/>
      </w:pPr>
      <w:r>
        <w:t xml:space="preserve">Scale issues – essentially </w:t>
      </w:r>
      <w:proofErr w:type="spellStart"/>
      <w:r>
        <w:t>downweights</w:t>
      </w:r>
      <w:proofErr w:type="spellEnd"/>
      <w:r>
        <w:t xml:space="preserve"> western stock that has a smaller component of catch observations. </w:t>
      </w:r>
    </w:p>
    <w:p w14:paraId="45F09C57" w14:textId="3AAA8C73" w:rsidR="008C7FDA" w:rsidRDefault="008C7FDA" w:rsidP="00A51701">
      <w:pPr>
        <w:jc w:val="both"/>
      </w:pPr>
    </w:p>
    <w:p w14:paraId="3BDADF42" w14:textId="107A8F99" w:rsidR="008C7FDA" w:rsidRDefault="008C7FDA" w:rsidP="00A51701">
      <w:pPr>
        <w:jc w:val="both"/>
      </w:pPr>
      <w:r>
        <w:t xml:space="preserve">Likely to bleed’ into east inflating western stock estimates. </w:t>
      </w:r>
      <w:proofErr w:type="spellStart"/>
      <w:r>
        <w:t>Ie</w:t>
      </w:r>
      <w:proofErr w:type="spellEnd"/>
      <w:r>
        <w:t xml:space="preserve"> small blending leads to large overestimations. </w:t>
      </w:r>
    </w:p>
    <w:p w14:paraId="1A915A35" w14:textId="55B5DA39" w:rsidR="00DF0BF5" w:rsidRDefault="00DF0BF5" w:rsidP="00DF0BF5">
      <w:pPr>
        <w:pStyle w:val="Heading2"/>
      </w:pPr>
      <w:r>
        <w:t>Conflicting information</w:t>
      </w:r>
    </w:p>
    <w:p w14:paraId="3C81998B" w14:textId="52EC455B" w:rsidR="00DF0BF5" w:rsidRDefault="00DF0BF5" w:rsidP="00DF0BF5"/>
    <w:p w14:paraId="3B0598F2" w14:textId="77777777" w:rsidR="00DF0BF5" w:rsidRDefault="00DF0BF5" w:rsidP="00DF0BF5">
      <w:pPr>
        <w:jc w:val="both"/>
      </w:pPr>
      <w:r>
        <w:t xml:space="preserve">Take the increase in vulnerable biomass in the Gulf of St Lawrence inferred by the CPUE indices. The model must generate this increase from solely eastern fish which closely follows the increase in eastern biomass in recent years. This is desirable from the point of view that it can explain flat trend in other western areas (conflicting trends) but undesirable in that it is not well supported by tagging data and stock of origin data that suggest few Eastern fish in the GSL. There is a This is not terribly plausible given the </w:t>
      </w:r>
    </w:p>
    <w:p w14:paraId="4D2DA86C" w14:textId="6F0CCA96" w:rsidR="00DF0BF5" w:rsidRDefault="00DF0BF5" w:rsidP="00DF0BF5"/>
    <w:p w14:paraId="58C4C16B" w14:textId="77777777" w:rsidR="00DF0BF5" w:rsidRDefault="00DF0BF5" w:rsidP="00DF0BF5"/>
    <w:p w14:paraId="28C029B5" w14:textId="6FBFCEE1" w:rsidR="00DF0BF5" w:rsidRPr="00DF0BF5" w:rsidRDefault="00606552" w:rsidP="00DF0BF5">
      <w:r>
        <w:t xml:space="preserve">Fit to increasing CPUE – recruitment, against length composition of younger cohorts. </w:t>
      </w:r>
      <w:proofErr w:type="spellStart"/>
      <w:r>
        <w:t>Ie</w:t>
      </w:r>
      <w:proofErr w:type="spellEnd"/>
      <w:r>
        <w:t xml:space="preserve"> a model overestimate</w:t>
      </w:r>
    </w:p>
    <w:p w14:paraId="591F35B4" w14:textId="04922FCD" w:rsidR="00FD2989" w:rsidRDefault="00DF0BF5" w:rsidP="00FD2989">
      <w:pPr>
        <w:pStyle w:val="Heading2"/>
      </w:pPr>
      <w:r>
        <w:t>General m</w:t>
      </w:r>
      <w:r w:rsidR="00FD2989">
        <w:t>odel predictions</w:t>
      </w:r>
    </w:p>
    <w:p w14:paraId="6F8F77F7" w14:textId="4C6B98B4" w:rsidR="00FD2989" w:rsidRDefault="00FD2989" w:rsidP="00A51701">
      <w:pPr>
        <w:jc w:val="both"/>
      </w:pPr>
    </w:p>
    <w:p w14:paraId="56CE0383" w14:textId="21F110D4" w:rsidR="00FD2989" w:rsidRDefault="00FD2989" w:rsidP="00A51701">
      <w:pPr>
        <w:jc w:val="both"/>
      </w:pPr>
      <w:r>
        <w:t xml:space="preserve">At first glance table may appear surprising for a stock that has been of conservation concern blab la. However closer inspection reveals that this result is certainly due to the of the operating model </w:t>
      </w:r>
      <w:r w:rsidR="00606552">
        <w:t xml:space="preserve">parameterization with respect to natural mortality rate and spawning fraction at age (maturity). In A1 configuration (Table X) the stocks are comparable to moderately lived species such as Atlantic mackerel. In such stocks, MSY reference points relating to stock size are often not that meaningful since just two strong cohorts can easily lead to a stock that </w:t>
      </w:r>
    </w:p>
    <w:p w14:paraId="44AA181B" w14:textId="77777777" w:rsidR="00FD2989" w:rsidRDefault="00FD2989" w:rsidP="00A51701">
      <w:pPr>
        <w:jc w:val="both"/>
      </w:pPr>
    </w:p>
    <w:p w14:paraId="7F4219DC" w14:textId="400CC338" w:rsidR="00FD2989" w:rsidRDefault="00FD2989" w:rsidP="00A51701">
      <w:pPr>
        <w:jc w:val="both"/>
      </w:pPr>
      <w:r>
        <w:t xml:space="preserve">Because abundance indices for the M3 model are over </w:t>
      </w:r>
      <w:proofErr w:type="gramStart"/>
      <w:r>
        <w:t>a short time</w:t>
      </w:r>
      <w:proofErr w:type="gramEnd"/>
      <w:r>
        <w:t xml:space="preserve"> scale (1982+) relative to the exploitation history of the stock, the depletion in the early 1980’s is informed by length composition data alone. </w:t>
      </w:r>
    </w:p>
    <w:p w14:paraId="2AB8E457" w14:textId="77777777" w:rsidR="00FD2989" w:rsidRDefault="00FD2989" w:rsidP="00A51701">
      <w:pPr>
        <w:jc w:val="both"/>
      </w:pPr>
    </w:p>
    <w:p w14:paraId="15AC60AE" w14:textId="47C79184" w:rsidR="00FD2989" w:rsidRDefault="00FD2989" w:rsidP="00A51701">
      <w:pPr>
        <w:jc w:val="both"/>
      </w:pPr>
      <w:r>
        <w:t>estimates arise from the length composition data</w:t>
      </w:r>
    </w:p>
    <w:p w14:paraId="4E265E01" w14:textId="30F1192B" w:rsidR="00DF0BF5" w:rsidRDefault="00DF0BF5" w:rsidP="00A51701">
      <w:pPr>
        <w:jc w:val="both"/>
      </w:pPr>
    </w:p>
    <w:p w14:paraId="5D4FF6BA" w14:textId="5ABA0A9A" w:rsidR="00DF0BF5" w:rsidRDefault="00DF0BF5" w:rsidP="00DF0BF5">
      <w:pPr>
        <w:pStyle w:val="Heading2"/>
      </w:pPr>
      <w:r>
        <w:t>Specific</w:t>
      </w:r>
      <w:r>
        <w:t xml:space="preserve"> model predictions</w:t>
      </w:r>
    </w:p>
    <w:p w14:paraId="5FB91755" w14:textId="77777777" w:rsidR="00DF0BF5" w:rsidRDefault="00DF0BF5" w:rsidP="00DF0BF5">
      <w:pPr>
        <w:jc w:val="both"/>
      </w:pPr>
    </w:p>
    <w:p w14:paraId="2C5F4111" w14:textId="77777777" w:rsidR="00DF0BF5" w:rsidRDefault="00DF0BF5" w:rsidP="00A51701">
      <w:pPr>
        <w:jc w:val="both"/>
      </w:pPr>
    </w:p>
    <w:p w14:paraId="71A367E6" w14:textId="24D5DF16" w:rsidR="00A51701" w:rsidRDefault="00A51701" w:rsidP="00A51701">
      <w:pPr>
        <w:jc w:val="both"/>
      </w:pPr>
    </w:p>
    <w:p w14:paraId="5071DF2D" w14:textId="77777777" w:rsidR="000E1796" w:rsidRDefault="000E1796" w:rsidP="004756EC">
      <w:pPr>
        <w:pStyle w:val="Heading1"/>
      </w:pPr>
      <w:r>
        <w:t>Acknowledgements</w:t>
      </w:r>
    </w:p>
    <w:p w14:paraId="3B8BA587" w14:textId="77777777" w:rsidR="000E1796" w:rsidRDefault="000E1796" w:rsidP="000E1796"/>
    <w:p w14:paraId="775A0042" w14:textId="7AD23760" w:rsidR="000E1796" w:rsidRDefault="000E1796" w:rsidP="006D2915">
      <w:pPr>
        <w:jc w:val="both"/>
      </w:pPr>
      <w:r>
        <w:lastRenderedPageBreak/>
        <w:t>T</w:t>
      </w:r>
      <w:r w:rsidRPr="000E1796">
        <w:t>his work was carried out</w:t>
      </w:r>
      <w:r w:rsidR="0055128E">
        <w:t>, in part,</w:t>
      </w:r>
      <w:r w:rsidRPr="000E1796">
        <w:t xml:space="preserve"> by TC under the provision of the ICCAT Atlantic Wide Research Programme for Bluefin Tuna (GBYP), funded by the European Union, several ICCAT CPCs, the ICCAT Secretariat and by other entities (see: http://www.iccat.int/GBYP/en/Budget.htm). The contents of this paper do not necessarily reflect the point of view of ICCAT or other funders and in no </w:t>
      </w:r>
      <w:proofErr w:type="gramStart"/>
      <w:r w:rsidRPr="000E1796">
        <w:t>ways</w:t>
      </w:r>
      <w:proofErr w:type="gramEnd"/>
      <w:r w:rsidRPr="000E1796">
        <w:t xml:space="preserve"> anticipate ICCAT future policy in this area.</w:t>
      </w:r>
    </w:p>
    <w:p w14:paraId="52C8EA79" w14:textId="3685B836" w:rsidR="000E1796" w:rsidRDefault="000E1796" w:rsidP="006D2915">
      <w:pPr>
        <w:jc w:val="both"/>
      </w:pPr>
    </w:p>
    <w:p w14:paraId="42F8BE11" w14:textId="77777777" w:rsidR="00030EAE" w:rsidRPr="000E1796" w:rsidRDefault="00030EAE" w:rsidP="006D2915">
      <w:pPr>
        <w:jc w:val="both"/>
      </w:pPr>
    </w:p>
    <w:p w14:paraId="00D7FF99" w14:textId="77777777" w:rsidR="004756EC" w:rsidRPr="004756EC" w:rsidRDefault="004756EC" w:rsidP="006D2915">
      <w:pPr>
        <w:pStyle w:val="Heading1"/>
        <w:jc w:val="both"/>
      </w:pPr>
      <w:r>
        <w:t>References</w:t>
      </w:r>
    </w:p>
    <w:p w14:paraId="4452B96D" w14:textId="2F6E9DE2" w:rsidR="00A84DE1" w:rsidRDefault="00A84DE1" w:rsidP="00857B60">
      <w:pPr>
        <w:spacing w:afterLines="40" w:after="96"/>
        <w:ind w:left="425" w:right="-11" w:hanging="425"/>
        <w:rPr>
          <w:lang w:val="en-US"/>
        </w:rPr>
      </w:pPr>
    </w:p>
    <w:p w14:paraId="41ABBF72" w14:textId="087F94CA" w:rsidR="00F50153" w:rsidRDefault="00F50153" w:rsidP="00857B60">
      <w:pPr>
        <w:spacing w:afterLines="40" w:after="96"/>
        <w:ind w:left="425" w:right="-11" w:hanging="425"/>
        <w:rPr>
          <w:lang w:val="en-US"/>
        </w:rPr>
      </w:pPr>
      <w:r>
        <w:rPr>
          <w:lang w:val="en-US"/>
        </w:rPr>
        <w:t>Carruthers, T. R., Kimoto, A., Powers, J.</w:t>
      </w:r>
      <w:r w:rsidR="00967A11">
        <w:rPr>
          <w:lang w:val="en-US"/>
        </w:rPr>
        <w:t xml:space="preserve"> </w:t>
      </w:r>
      <w:r>
        <w:rPr>
          <w:lang w:val="en-US"/>
        </w:rPr>
        <w:t xml:space="preserve">E., </w:t>
      </w:r>
      <w:proofErr w:type="spellStart"/>
      <w:r>
        <w:rPr>
          <w:lang w:val="en-US"/>
        </w:rPr>
        <w:t>Kell</w:t>
      </w:r>
      <w:proofErr w:type="spellEnd"/>
      <w:r>
        <w:rPr>
          <w:lang w:val="en-US"/>
        </w:rPr>
        <w:t>, L., Butterworth, D.</w:t>
      </w:r>
      <w:r w:rsidR="00967A11">
        <w:rPr>
          <w:lang w:val="en-US"/>
        </w:rPr>
        <w:t xml:space="preserve"> </w:t>
      </w:r>
      <w:r>
        <w:rPr>
          <w:lang w:val="en-US"/>
        </w:rPr>
        <w:t>S., Lauretta, M.</w:t>
      </w:r>
      <w:r w:rsidR="00967A11">
        <w:rPr>
          <w:lang w:val="en-US"/>
        </w:rPr>
        <w:t xml:space="preserve"> </w:t>
      </w:r>
      <w:r>
        <w:rPr>
          <w:lang w:val="en-US"/>
        </w:rPr>
        <w:t xml:space="preserve">V., </w:t>
      </w:r>
      <w:proofErr w:type="spellStart"/>
      <w:r>
        <w:rPr>
          <w:lang w:val="en-US"/>
        </w:rPr>
        <w:t>Kitakado</w:t>
      </w:r>
      <w:proofErr w:type="spellEnd"/>
      <w:r>
        <w:rPr>
          <w:lang w:val="en-US"/>
        </w:rPr>
        <w:t xml:space="preserve">, T. 2015a. Structure and estimation framework for Atlantic bluefin tuna operating models. SCRS/2015/179. </w:t>
      </w:r>
    </w:p>
    <w:p w14:paraId="63EE99F6" w14:textId="539565AE" w:rsidR="00F50153" w:rsidRDefault="00F50153" w:rsidP="00857B60">
      <w:pPr>
        <w:spacing w:afterLines="40" w:after="96"/>
        <w:ind w:left="425" w:right="-11" w:hanging="425"/>
        <w:rPr>
          <w:lang w:val="en-US"/>
        </w:rPr>
      </w:pPr>
    </w:p>
    <w:p w14:paraId="256AB2F5" w14:textId="78BA7769" w:rsidR="00F50153" w:rsidRDefault="00F50153" w:rsidP="00857B60">
      <w:pPr>
        <w:spacing w:afterLines="40" w:after="96"/>
        <w:ind w:left="425" w:right="-11" w:hanging="425"/>
        <w:rPr>
          <w:lang w:val="en-US"/>
        </w:rPr>
      </w:pPr>
      <w:r>
        <w:rPr>
          <w:lang w:val="en-US"/>
        </w:rPr>
        <w:t>Carruthers, T.</w:t>
      </w:r>
      <w:r w:rsidR="00967A11">
        <w:rPr>
          <w:lang w:val="en-US"/>
        </w:rPr>
        <w:t xml:space="preserve"> </w:t>
      </w:r>
      <w:r>
        <w:rPr>
          <w:lang w:val="en-US"/>
        </w:rPr>
        <w:t>R., Powers, J.</w:t>
      </w:r>
      <w:r w:rsidR="00967A11">
        <w:rPr>
          <w:lang w:val="en-US"/>
        </w:rPr>
        <w:t xml:space="preserve"> </w:t>
      </w:r>
      <w:r>
        <w:rPr>
          <w:lang w:val="en-US"/>
        </w:rPr>
        <w:t xml:space="preserve">E., Lauretta, M.V., di Natale, A., </w:t>
      </w:r>
      <w:proofErr w:type="spellStart"/>
      <w:r>
        <w:rPr>
          <w:lang w:val="en-US"/>
        </w:rPr>
        <w:t>Kell</w:t>
      </w:r>
      <w:proofErr w:type="spellEnd"/>
      <w:r>
        <w:rPr>
          <w:lang w:val="en-US"/>
        </w:rPr>
        <w:t xml:space="preserve">, L. 2015b. A summary of data to inform operating models in management strategy evaluation of Atlantic bluefin tuna. SCRS/2015/180. </w:t>
      </w:r>
    </w:p>
    <w:p w14:paraId="0DFA0948" w14:textId="4C42BA77" w:rsidR="00F50153" w:rsidRDefault="00F50153" w:rsidP="00857B60">
      <w:pPr>
        <w:spacing w:afterLines="40" w:after="96"/>
        <w:ind w:left="425" w:right="-11" w:hanging="425"/>
        <w:rPr>
          <w:lang w:val="en-US"/>
        </w:rPr>
      </w:pPr>
    </w:p>
    <w:p w14:paraId="36F8409F" w14:textId="77777777" w:rsidR="00F50153" w:rsidRDefault="00F50153" w:rsidP="00857B60">
      <w:pPr>
        <w:spacing w:afterLines="40" w:after="96"/>
        <w:ind w:left="425" w:right="-11" w:hanging="425"/>
        <w:rPr>
          <w:lang w:val="en-US"/>
        </w:rPr>
      </w:pPr>
    </w:p>
    <w:p w14:paraId="70C42CDA" w14:textId="77777777" w:rsidR="00F50153" w:rsidRPr="00082AFE" w:rsidRDefault="00F50153" w:rsidP="00857B60">
      <w:pPr>
        <w:spacing w:afterLines="40" w:after="96"/>
        <w:ind w:left="425" w:right="-11" w:hanging="425"/>
        <w:rPr>
          <w:lang w:val="en-US"/>
        </w:rPr>
      </w:pPr>
    </w:p>
    <w:p w14:paraId="25F0ADB2" w14:textId="77777777" w:rsidR="00857B60" w:rsidRPr="00082AFE" w:rsidRDefault="00857B60" w:rsidP="00532620">
      <w:pPr>
        <w:rPr>
          <w:rFonts w:cs="Times New Roman"/>
          <w:szCs w:val="20"/>
          <w:lang w:val="en-US"/>
        </w:rPr>
      </w:pPr>
    </w:p>
    <w:p w14:paraId="11CABAF6" w14:textId="77777777" w:rsidR="001256DA" w:rsidRPr="00082AFE" w:rsidRDefault="001256DA" w:rsidP="00532620">
      <w:pPr>
        <w:rPr>
          <w:rFonts w:cs="Times New Roman"/>
          <w:szCs w:val="20"/>
          <w:lang w:val="en-US"/>
        </w:rPr>
      </w:pPr>
    </w:p>
    <w:p w14:paraId="6396C977" w14:textId="77777777" w:rsidR="00DB4153" w:rsidRDefault="00DB4153">
      <w:pPr>
        <w:spacing w:after="200" w:line="276" w:lineRule="auto"/>
        <w:rPr>
          <w:rFonts w:eastAsiaTheme="majorEastAsia" w:cstheme="majorBidi"/>
          <w:b/>
          <w:bCs/>
          <w:szCs w:val="26"/>
        </w:rPr>
      </w:pPr>
      <w:r>
        <w:rPr>
          <w:i/>
        </w:rPr>
        <w:br w:type="page"/>
      </w:r>
    </w:p>
    <w:p w14:paraId="51BE682D" w14:textId="459E43AB" w:rsidR="001256DA" w:rsidRDefault="001256DA" w:rsidP="00EB7F5A">
      <w:pPr>
        <w:pStyle w:val="Heading2"/>
        <w:numPr>
          <w:ilvl w:val="0"/>
          <w:numId w:val="0"/>
        </w:numPr>
        <w:ind w:left="576" w:hanging="576"/>
      </w:pPr>
      <w:r w:rsidRPr="001256DA">
        <w:rPr>
          <w:i w:val="0"/>
        </w:rPr>
        <w:lastRenderedPageBreak/>
        <w:t>Table 1</w:t>
      </w:r>
      <w:r w:rsidRPr="00A8201D">
        <w:rPr>
          <w:b w:val="0"/>
          <w:i w:val="0"/>
        </w:rPr>
        <w:t xml:space="preserve">. </w:t>
      </w:r>
      <w:r w:rsidR="00DC6C88">
        <w:rPr>
          <w:b w:val="0"/>
          <w:i w:val="0"/>
        </w:rPr>
        <w:t xml:space="preserve">The frequency of movement types of electronic and conventional tags originating from the Atlantic and Strait of Gibraltar. Note that multistage movement types (e.g. ‘To central Med via Balearic’) cannot be determined from conventional tag release and recapture information. </w:t>
      </w:r>
    </w:p>
    <w:p w14:paraId="29731C53" w14:textId="77777777" w:rsidR="001256DA" w:rsidRDefault="001256DA" w:rsidP="00532620">
      <w:pPr>
        <w:rPr>
          <w:rFonts w:cs="Times New Roman"/>
          <w:szCs w:val="20"/>
        </w:rPr>
      </w:pPr>
    </w:p>
    <w:p w14:paraId="40127564" w14:textId="789879F1" w:rsidR="001256DA" w:rsidRDefault="007A561B" w:rsidP="00532620">
      <w:pPr>
        <w:rPr>
          <w:rFonts w:cs="Times New Roman"/>
          <w:szCs w:val="20"/>
        </w:rPr>
      </w:pPr>
      <w:r>
        <w:rPr>
          <w:noProof/>
        </w:rPr>
        <w:drawing>
          <wp:inline distT="0" distB="0" distL="0" distR="0" wp14:anchorId="7E82C24F" wp14:editId="616EF421">
            <wp:extent cx="4896302" cy="27228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0080" cy="2724981"/>
                    </a:xfrm>
                    <a:prstGeom prst="rect">
                      <a:avLst/>
                    </a:prstGeom>
                  </pic:spPr>
                </pic:pic>
              </a:graphicData>
            </a:graphic>
          </wp:inline>
        </w:drawing>
      </w:r>
    </w:p>
    <w:p w14:paraId="0C8AF83B" w14:textId="1B5DE37C" w:rsidR="007A561B" w:rsidRDefault="007A561B" w:rsidP="00532620">
      <w:pPr>
        <w:rPr>
          <w:rFonts w:cs="Times New Roman"/>
          <w:szCs w:val="20"/>
        </w:rPr>
      </w:pPr>
    </w:p>
    <w:p w14:paraId="7BECC4D7" w14:textId="4548602B" w:rsidR="007A561B" w:rsidRDefault="007A561B" w:rsidP="00532620">
      <w:pPr>
        <w:rPr>
          <w:rFonts w:cs="Times New Roman"/>
          <w:szCs w:val="20"/>
        </w:rPr>
      </w:pPr>
    </w:p>
    <w:p w14:paraId="049E3967" w14:textId="450CC77C" w:rsidR="007A561B" w:rsidRDefault="007A561B" w:rsidP="00532620">
      <w:pPr>
        <w:rPr>
          <w:rFonts w:cs="Times New Roman"/>
          <w:szCs w:val="20"/>
        </w:rPr>
      </w:pPr>
    </w:p>
    <w:p w14:paraId="663575D8" w14:textId="77777777" w:rsidR="007A561B" w:rsidRDefault="00DA3073" w:rsidP="007A561B">
      <w:pPr>
        <w:pStyle w:val="Heading2"/>
        <w:numPr>
          <w:ilvl w:val="0"/>
          <w:numId w:val="0"/>
        </w:numPr>
        <w:ind w:left="576" w:hanging="576"/>
      </w:pPr>
      <w:r w:rsidRPr="00DA3073">
        <w:rPr>
          <w:noProof/>
          <w:lang w:eastAsia="en-CA"/>
        </w:rPr>
        <w:lastRenderedPageBreak/>
        <w:t xml:space="preserve"> </w:t>
      </w:r>
      <w:r w:rsidR="007A561B" w:rsidRPr="001256DA">
        <w:rPr>
          <w:i w:val="0"/>
        </w:rPr>
        <w:t>Table 1</w:t>
      </w:r>
      <w:r w:rsidR="007A561B" w:rsidRPr="00A8201D">
        <w:rPr>
          <w:b w:val="0"/>
          <w:i w:val="0"/>
        </w:rPr>
        <w:t xml:space="preserve">. </w:t>
      </w:r>
      <w:r w:rsidR="007A561B">
        <w:rPr>
          <w:b w:val="0"/>
          <w:i w:val="0"/>
        </w:rPr>
        <w:t xml:space="preserve">The frequency of movement types of electronic and conventional tags originating from the Atlantic and Strait of Gibraltar. Note that multistage movement types (e.g. ‘To central Med via Balearic’) cannot be determined from conventional tag release and recapture information. </w:t>
      </w:r>
    </w:p>
    <w:p w14:paraId="3C829010" w14:textId="146C9E95" w:rsidR="000C33E3" w:rsidRDefault="000C33E3" w:rsidP="006A6C8C">
      <w:pPr>
        <w:keepNext/>
        <w:keepLines/>
      </w:pPr>
    </w:p>
    <w:p w14:paraId="1FE86544" w14:textId="2BF6C380" w:rsidR="000C7253" w:rsidRDefault="00276CB9" w:rsidP="006A6C8C">
      <w:pPr>
        <w:keepNext/>
        <w:keepLines/>
        <w:rPr>
          <w:b/>
        </w:rPr>
      </w:pPr>
      <w:r>
        <w:rPr>
          <w:noProof/>
        </w:rPr>
        <w:drawing>
          <wp:inline distT="0" distB="0" distL="0" distR="0" wp14:anchorId="79421DE5" wp14:editId="446D8AFE">
            <wp:extent cx="3169920" cy="24272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8441" cy="2441398"/>
                    </a:xfrm>
                    <a:prstGeom prst="rect">
                      <a:avLst/>
                    </a:prstGeom>
                  </pic:spPr>
                </pic:pic>
              </a:graphicData>
            </a:graphic>
          </wp:inline>
        </w:drawing>
      </w:r>
    </w:p>
    <w:p w14:paraId="34B6CBC9" w14:textId="2AAA4E94" w:rsidR="007A561B" w:rsidRDefault="007A561B" w:rsidP="006A6C8C">
      <w:pPr>
        <w:keepNext/>
        <w:keepLines/>
        <w:rPr>
          <w:b/>
        </w:rPr>
      </w:pPr>
    </w:p>
    <w:p w14:paraId="54C6DC9F" w14:textId="77777777" w:rsidR="008C7FDA" w:rsidRDefault="008C7FDA" w:rsidP="008C7FDA">
      <w:pPr>
        <w:pStyle w:val="Heading2"/>
        <w:numPr>
          <w:ilvl w:val="0"/>
          <w:numId w:val="0"/>
        </w:numPr>
        <w:ind w:left="576" w:hanging="576"/>
      </w:pPr>
      <w:r w:rsidRPr="001256DA">
        <w:rPr>
          <w:i w:val="0"/>
        </w:rPr>
        <w:t>Table 1</w:t>
      </w:r>
      <w:r w:rsidRPr="00A8201D">
        <w:rPr>
          <w:b w:val="0"/>
          <w:i w:val="0"/>
        </w:rPr>
        <w:t xml:space="preserve">. </w:t>
      </w:r>
      <w:r>
        <w:rPr>
          <w:b w:val="0"/>
          <w:i w:val="0"/>
        </w:rPr>
        <w:t xml:space="preserve">The frequency of movement types of electronic and conventional tags originating from the Atlantic and Strait of Gibraltar. Note that multistage movement types (e.g. ‘To central Med via Balearic’) cannot be determined from conventional tag release and recapture information. </w:t>
      </w:r>
    </w:p>
    <w:p w14:paraId="78A71431" w14:textId="64F0BA63" w:rsidR="008C7FDA" w:rsidRDefault="008C7FDA" w:rsidP="006A6C8C">
      <w:pPr>
        <w:keepNext/>
        <w:keepLines/>
        <w:rPr>
          <w:b/>
        </w:rPr>
      </w:pPr>
    </w:p>
    <w:p w14:paraId="28203FD8" w14:textId="6C0AA849" w:rsidR="00977D72" w:rsidRDefault="00977D72" w:rsidP="006A6C8C">
      <w:pPr>
        <w:keepNext/>
        <w:keepLines/>
      </w:pPr>
    </w:p>
    <w:p w14:paraId="6FE6F845" w14:textId="0ACF63BC" w:rsidR="008C7FDA" w:rsidRDefault="008C7FDA" w:rsidP="006A6C8C">
      <w:pPr>
        <w:keepNext/>
        <w:keepLines/>
      </w:pPr>
    </w:p>
    <w:p w14:paraId="5131CFBB" w14:textId="1D3A588E" w:rsidR="008C7FDA" w:rsidRDefault="008C7FDA" w:rsidP="006A6C8C">
      <w:pPr>
        <w:keepNext/>
        <w:keepLines/>
      </w:pPr>
      <w:r>
        <w:rPr>
          <w:noProof/>
        </w:rPr>
        <w:lastRenderedPageBreak/>
        <w:drawing>
          <wp:inline distT="0" distB="0" distL="0" distR="0" wp14:anchorId="15456874" wp14:editId="060A3A16">
            <wp:extent cx="5732145" cy="7879715"/>
            <wp:effectExtent l="0" t="0" r="190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7879715"/>
                    </a:xfrm>
                    <a:prstGeom prst="rect">
                      <a:avLst/>
                    </a:prstGeom>
                  </pic:spPr>
                </pic:pic>
              </a:graphicData>
            </a:graphic>
          </wp:inline>
        </w:drawing>
      </w:r>
    </w:p>
    <w:p w14:paraId="5084B61A" w14:textId="682975EC" w:rsidR="008C7FDA" w:rsidRDefault="008C7FDA" w:rsidP="008C7FDA">
      <w:pPr>
        <w:keepNext/>
        <w:keepLines/>
        <w:rPr>
          <w:b/>
        </w:rPr>
      </w:pPr>
      <w:r w:rsidRPr="00977D72">
        <w:rPr>
          <w:b/>
        </w:rPr>
        <w:t xml:space="preserve">Figure </w:t>
      </w:r>
      <w:r>
        <w:rPr>
          <w:b/>
        </w:rPr>
        <w:t>1</w:t>
      </w:r>
      <w:r w:rsidRPr="00977D72">
        <w:rPr>
          <w:b/>
        </w:rPr>
        <w:t xml:space="preserve">. </w:t>
      </w:r>
      <w:r w:rsidRPr="003D4A68">
        <w:t xml:space="preserve">Electronic tag tracks for all tags entering the Mediterranean </w:t>
      </w:r>
      <w:r>
        <w:t>originating in</w:t>
      </w:r>
      <w:r w:rsidRPr="003D4A68">
        <w:t xml:space="preserve"> the Atlantic</w:t>
      </w:r>
      <w:r>
        <w:t xml:space="preserve"> organized by movement type. </w:t>
      </w:r>
    </w:p>
    <w:p w14:paraId="62640AE3" w14:textId="77777777" w:rsidR="008C7FDA" w:rsidRDefault="008C7FDA" w:rsidP="006A6C8C">
      <w:pPr>
        <w:keepNext/>
        <w:keepLines/>
      </w:pPr>
    </w:p>
    <w:p w14:paraId="0BAB9686" w14:textId="10A6F06F" w:rsidR="00CF34C5" w:rsidRDefault="008C7FDA" w:rsidP="006A6C8C">
      <w:pPr>
        <w:keepNext/>
        <w:keepLines/>
        <w:rPr>
          <w:b/>
        </w:rPr>
      </w:pPr>
      <w:r>
        <w:rPr>
          <w:noProof/>
        </w:rPr>
        <w:lastRenderedPageBreak/>
        <w:drawing>
          <wp:inline distT="0" distB="0" distL="0" distR="0" wp14:anchorId="6F628918" wp14:editId="0BEADE15">
            <wp:extent cx="5732145" cy="5327650"/>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5327650"/>
                    </a:xfrm>
                    <a:prstGeom prst="rect">
                      <a:avLst/>
                    </a:prstGeom>
                  </pic:spPr>
                </pic:pic>
              </a:graphicData>
            </a:graphic>
          </wp:inline>
        </w:drawing>
      </w:r>
      <w:r w:rsidR="00DA3073" w:rsidRPr="00977D72">
        <w:rPr>
          <w:b/>
        </w:rPr>
        <w:t xml:space="preserve"> </w:t>
      </w:r>
    </w:p>
    <w:p w14:paraId="62975244" w14:textId="2C04EA7E" w:rsidR="003D4A68" w:rsidRDefault="003D4A68" w:rsidP="003D4A68">
      <w:pPr>
        <w:keepNext/>
        <w:keepLines/>
        <w:rPr>
          <w:b/>
        </w:rPr>
      </w:pPr>
      <w:r w:rsidRPr="00977D72">
        <w:rPr>
          <w:b/>
        </w:rPr>
        <w:t xml:space="preserve">Figure 2. </w:t>
      </w:r>
      <w:r w:rsidRPr="003D4A68">
        <w:t xml:space="preserve">Electronic tag tracks for all tags entering the Mediterranean </w:t>
      </w:r>
      <w:r w:rsidR="00DC6C88">
        <w:t>originating in</w:t>
      </w:r>
      <w:r w:rsidRPr="003D4A68">
        <w:t xml:space="preserve"> the Atlantic</w:t>
      </w:r>
      <w:r>
        <w:t xml:space="preserve"> organized </w:t>
      </w:r>
      <w:r w:rsidR="00DC6C88">
        <w:t xml:space="preserve">by </w:t>
      </w:r>
      <w:r>
        <w:t xml:space="preserve">movement type. </w:t>
      </w:r>
    </w:p>
    <w:p w14:paraId="74E3CF5E" w14:textId="3F522C75" w:rsidR="003D4A68" w:rsidRDefault="003D4A68" w:rsidP="006A6C8C">
      <w:pPr>
        <w:keepNext/>
        <w:keepLines/>
        <w:rPr>
          <w:b/>
        </w:rPr>
      </w:pPr>
    </w:p>
    <w:p w14:paraId="4E805DF8" w14:textId="4C568027" w:rsidR="00DC6C88" w:rsidRDefault="00DC6C88" w:rsidP="006A6C8C">
      <w:pPr>
        <w:keepNext/>
        <w:keepLines/>
        <w:rPr>
          <w:b/>
        </w:rPr>
      </w:pPr>
    </w:p>
    <w:p w14:paraId="2D7F3EAC" w14:textId="1932F5CF" w:rsidR="008C7FDA" w:rsidRDefault="00496B89" w:rsidP="006A6C8C">
      <w:pPr>
        <w:keepNext/>
        <w:keepLines/>
        <w:rPr>
          <w:b/>
        </w:rPr>
      </w:pPr>
      <w:bookmarkStart w:id="0" w:name="_GoBack"/>
      <w:r>
        <w:rPr>
          <w:noProof/>
        </w:rPr>
        <w:drawing>
          <wp:inline distT="0" distB="0" distL="0" distR="0" wp14:anchorId="27DD93A7" wp14:editId="371419EA">
            <wp:extent cx="5732145" cy="31813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3181350"/>
                    </a:xfrm>
                    <a:prstGeom prst="rect">
                      <a:avLst/>
                    </a:prstGeom>
                  </pic:spPr>
                </pic:pic>
              </a:graphicData>
            </a:graphic>
          </wp:inline>
        </w:drawing>
      </w:r>
      <w:bookmarkEnd w:id="0"/>
    </w:p>
    <w:p w14:paraId="530CCAD5" w14:textId="2CCE35E8" w:rsidR="00496B89" w:rsidRDefault="00496B89" w:rsidP="006A6C8C">
      <w:pPr>
        <w:keepNext/>
        <w:keepLines/>
        <w:rPr>
          <w:b/>
        </w:rPr>
      </w:pPr>
    </w:p>
    <w:p w14:paraId="7DF6C7AA" w14:textId="77777777" w:rsidR="00496B89" w:rsidRDefault="00496B89" w:rsidP="006A6C8C">
      <w:pPr>
        <w:keepNext/>
        <w:keepLines/>
        <w:rPr>
          <w:b/>
        </w:rPr>
      </w:pPr>
    </w:p>
    <w:p w14:paraId="1C9831F8" w14:textId="77777777" w:rsidR="008C7FDA" w:rsidRDefault="008C7FDA" w:rsidP="006A6C8C">
      <w:pPr>
        <w:keepNext/>
        <w:keepLines/>
        <w:rPr>
          <w:b/>
        </w:rPr>
      </w:pPr>
    </w:p>
    <w:p w14:paraId="5896EDD5" w14:textId="40A825BD" w:rsidR="00DC6C88" w:rsidRPr="00496B89" w:rsidRDefault="00DC6C88" w:rsidP="006A6C8C">
      <w:pPr>
        <w:keepNext/>
        <w:keepLines/>
      </w:pPr>
      <w:r>
        <w:rPr>
          <w:b/>
        </w:rPr>
        <w:t>Figure 3</w:t>
      </w:r>
      <w:r w:rsidR="00496B89" w:rsidRPr="00496B89">
        <w:rPr>
          <w:b/>
        </w:rPr>
        <w:t>.</w:t>
      </w:r>
      <w:r w:rsidR="00496B89">
        <w:rPr>
          <w:b/>
        </w:rPr>
        <w:t xml:space="preserve"> </w:t>
      </w:r>
      <w:r w:rsidR="00496B89" w:rsidRPr="00496B89">
        <w:t xml:space="preserve">Regional comparisons (45deg W) with 2014 stock assessment. Note that annual estimates from the operating model are calculated from </w:t>
      </w:r>
      <w:r w:rsidR="00496B89">
        <w:t xml:space="preserve">weighted </w:t>
      </w:r>
      <w:r w:rsidR="00496B89" w:rsidRPr="00496B89">
        <w:t xml:space="preserve">average of the seasonal predictions. Harvest rates from the operating model are based on total stock biomass </w:t>
      </w:r>
      <w:r w:rsidR="00496B89">
        <w:t>(</w:t>
      </w:r>
      <w:r w:rsidR="00496B89" w:rsidRPr="00496B89">
        <w:t>not vulnerable</w:t>
      </w:r>
      <w:r w:rsidR="00496B89">
        <w:t xml:space="preserve"> biomass which is ﬂeet speciﬁc, </w:t>
      </w:r>
      <w:r w:rsidR="00496B89" w:rsidRPr="00496B89">
        <w:t>and hence may not be comparable with assessments).</w:t>
      </w:r>
    </w:p>
    <w:p w14:paraId="711AD8F7" w14:textId="2E027737" w:rsidR="00DC6C88" w:rsidRDefault="00DC6C88" w:rsidP="006A6C8C">
      <w:pPr>
        <w:keepNext/>
        <w:keepLines/>
      </w:pPr>
    </w:p>
    <w:p w14:paraId="2FA439A5" w14:textId="4A443F6A" w:rsidR="00DC6C88" w:rsidRDefault="00DC6C88" w:rsidP="006A6C8C">
      <w:pPr>
        <w:keepNext/>
        <w:keepLines/>
      </w:pPr>
    </w:p>
    <w:p w14:paraId="3741A27F" w14:textId="41507705" w:rsidR="00DC6C88" w:rsidRDefault="00DC6C88" w:rsidP="006A6C8C">
      <w:pPr>
        <w:keepNext/>
        <w:keepLines/>
      </w:pPr>
    </w:p>
    <w:p w14:paraId="25258E43" w14:textId="7CDE5CD6" w:rsidR="00920685" w:rsidRDefault="00920685" w:rsidP="006A6C8C">
      <w:pPr>
        <w:keepNext/>
        <w:keepLines/>
      </w:pPr>
      <w:r w:rsidRPr="00920685">
        <w:rPr>
          <w:b/>
        </w:rPr>
        <w:t>Figure 4</w:t>
      </w:r>
      <w:r>
        <w:t xml:space="preserve">. Heat map of daily electronic tag density. </w:t>
      </w:r>
    </w:p>
    <w:p w14:paraId="297D4742" w14:textId="46F2E3CA" w:rsidR="00DC6C88" w:rsidRDefault="00DC6C88" w:rsidP="006A6C8C">
      <w:pPr>
        <w:keepNext/>
        <w:keepLines/>
      </w:pPr>
    </w:p>
    <w:p w14:paraId="4D45014F" w14:textId="4A7B3245" w:rsidR="00920685" w:rsidRDefault="00920685" w:rsidP="006A6C8C">
      <w:pPr>
        <w:keepNext/>
        <w:keepLines/>
      </w:pPr>
      <w:r>
        <w:t xml:space="preserve">Figure 5. Origin (western areas) of electronic and conventional tags entering the Mediterranean </w:t>
      </w:r>
    </w:p>
    <w:p w14:paraId="7CF05AAA" w14:textId="6F19A894" w:rsidR="00920685" w:rsidRDefault="00920685" w:rsidP="006A6C8C">
      <w:pPr>
        <w:keepNext/>
        <w:keepLines/>
      </w:pPr>
    </w:p>
    <w:p w14:paraId="4F127B3E" w14:textId="3E23FE59" w:rsidR="00920685" w:rsidRDefault="00920685" w:rsidP="00920685">
      <w:pPr>
        <w:keepNext/>
        <w:keepLines/>
      </w:pPr>
      <w:r>
        <w:t xml:space="preserve">Figure 6. Origin (Eastern areas) of electronic and conventional tags entering the Mediterranean </w:t>
      </w:r>
    </w:p>
    <w:p w14:paraId="6D0193B7" w14:textId="77777777" w:rsidR="00920685" w:rsidRPr="00DC6C88" w:rsidRDefault="00920685" w:rsidP="006A6C8C">
      <w:pPr>
        <w:keepNext/>
        <w:keepLines/>
      </w:pPr>
    </w:p>
    <w:sectPr w:rsidR="00920685" w:rsidRPr="00DC6C88" w:rsidSect="004756EC">
      <w:headerReference w:type="first" r:id="rId13"/>
      <w:pgSz w:w="11907" w:h="16840" w:code="9"/>
      <w:pgMar w:top="992" w:right="1440" w:bottom="1276"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C496A" w14:textId="77777777" w:rsidR="007847A5" w:rsidRDefault="007847A5" w:rsidP="003B5FF7">
      <w:r>
        <w:separator/>
      </w:r>
    </w:p>
  </w:endnote>
  <w:endnote w:type="continuationSeparator" w:id="0">
    <w:p w14:paraId="3CD18196" w14:textId="77777777" w:rsidR="007847A5" w:rsidRDefault="007847A5" w:rsidP="003B5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DA851" w14:textId="77777777" w:rsidR="007847A5" w:rsidRDefault="007847A5" w:rsidP="003B5FF7">
      <w:r>
        <w:separator/>
      </w:r>
    </w:p>
  </w:footnote>
  <w:footnote w:type="continuationSeparator" w:id="0">
    <w:p w14:paraId="0BD0DCBF" w14:textId="77777777" w:rsidR="007847A5" w:rsidRDefault="007847A5" w:rsidP="003B5FF7">
      <w:r>
        <w:continuationSeparator/>
      </w:r>
    </w:p>
  </w:footnote>
  <w:footnote w:id="1">
    <w:p w14:paraId="674705A9" w14:textId="3C48F4F7" w:rsidR="004E17B7" w:rsidRPr="000934A5" w:rsidRDefault="004E17B7" w:rsidP="004E17B7">
      <w:pPr>
        <w:pStyle w:val="FootnoteText"/>
        <w:rPr>
          <w:sz w:val="18"/>
          <w:szCs w:val="18"/>
        </w:rPr>
      </w:pPr>
      <w:r w:rsidRPr="000934A5">
        <w:rPr>
          <w:rStyle w:val="FootnoteReference"/>
          <w:sz w:val="18"/>
          <w:szCs w:val="18"/>
        </w:rPr>
        <w:footnoteRef/>
      </w:r>
      <w:r w:rsidRPr="000934A5">
        <w:rPr>
          <w:sz w:val="18"/>
          <w:szCs w:val="18"/>
        </w:rPr>
        <w:t xml:space="preserve"> IOF, 2202 Main Mall, University of British Columbia, Vancouver, B.C.,</w:t>
      </w:r>
      <w:r w:rsidR="00D3775F">
        <w:rPr>
          <w:sz w:val="18"/>
          <w:szCs w:val="18"/>
        </w:rPr>
        <w:t xml:space="preserve"> Canada, V6T 1Z4. </w:t>
      </w:r>
      <w:hyperlink r:id="rId1" w:history="1">
        <w:r w:rsidR="00F5545F" w:rsidRPr="00ED24B5">
          <w:rPr>
            <w:rStyle w:val="Hyperlink"/>
            <w:sz w:val="18"/>
            <w:szCs w:val="18"/>
          </w:rPr>
          <w:t>t.carruthers@oceans.ubc.ca</w:t>
        </w:r>
      </w:hyperlink>
      <w:r w:rsidR="00F5545F">
        <w:rPr>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8DE31" w14:textId="103993AB" w:rsidR="00042CBB" w:rsidRDefault="000E47FD" w:rsidP="00532620">
    <w:pPr>
      <w:pStyle w:val="Header"/>
    </w:pPr>
    <w:r>
      <w:t>SCRS/201</w:t>
    </w:r>
    <w:r w:rsidR="00EB7F5A">
      <w:t>7</w:t>
    </w:r>
    <w:r w:rsidR="00042CBB">
      <w:t>/</w:t>
    </w:r>
    <w:r w:rsidR="00E110A9">
      <w:t>13</w:t>
    </w:r>
    <w:r w:rsidR="001A0194">
      <w:t>9</w:t>
    </w:r>
    <w:r w:rsidR="00042CBB">
      <w:t xml:space="preserve">                                                    </w:t>
    </w:r>
  </w:p>
  <w:p w14:paraId="4B30BB64" w14:textId="77777777" w:rsidR="00042CBB" w:rsidRDefault="00042C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3341D"/>
    <w:multiLevelType w:val="hybridMultilevel"/>
    <w:tmpl w:val="1F3205C6"/>
    <w:lvl w:ilvl="0" w:tplc="E654E8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1A605E"/>
    <w:multiLevelType w:val="hybridMultilevel"/>
    <w:tmpl w:val="92D47796"/>
    <w:lvl w:ilvl="0" w:tplc="505C5774">
      <w:start w:val="1"/>
      <w:numFmt w:val="decimal"/>
      <w:lvlText w:val="(%1)"/>
      <w:lvlJc w:val="left"/>
      <w:pPr>
        <w:ind w:left="720" w:hanging="360"/>
      </w:pPr>
      <w:rPr>
        <w:rFonts w:ascii="Times New Roman" w:eastAsiaTheme="minorHAnsi" w:hAnsi="Times New Roman"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2E25B6"/>
    <w:multiLevelType w:val="hybridMultilevel"/>
    <w:tmpl w:val="BBA43190"/>
    <w:lvl w:ilvl="0" w:tplc="D9A40238">
      <w:start w:val="1"/>
      <w:numFmt w:val="decimal"/>
      <w:lvlText w:val="%1."/>
      <w:lvlJc w:val="left"/>
      <w:pPr>
        <w:ind w:left="720" w:hanging="360"/>
      </w:pPr>
      <w:rPr>
        <w:rFonts w:ascii="Times New Roman" w:hAnsi="Times New Roman" w:hint="default"/>
        <w:b w:val="0"/>
        <w:color w:val="auto"/>
        <w:sz w:val="20"/>
        <w:lang w:val="es-E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183457D"/>
    <w:multiLevelType w:val="multilevel"/>
    <w:tmpl w:val="12F6A4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08216C0"/>
    <w:multiLevelType w:val="multilevel"/>
    <w:tmpl w:val="EBA6E8B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1D458CB"/>
    <w:multiLevelType w:val="hybridMultilevel"/>
    <w:tmpl w:val="948C3922"/>
    <w:lvl w:ilvl="0" w:tplc="8048AF10">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E196A7D"/>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3"/>
  </w:num>
  <w:num w:numId="3">
    <w:abstractNumId w:val="4"/>
  </w:num>
  <w:num w:numId="4">
    <w:abstractNumId w:val="1"/>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FF7"/>
    <w:rsid w:val="000011D7"/>
    <w:rsid w:val="00003814"/>
    <w:rsid w:val="0000387F"/>
    <w:rsid w:val="00020915"/>
    <w:rsid w:val="00030EAE"/>
    <w:rsid w:val="00042CBB"/>
    <w:rsid w:val="00043093"/>
    <w:rsid w:val="00050A47"/>
    <w:rsid w:val="0005109D"/>
    <w:rsid w:val="00055D6E"/>
    <w:rsid w:val="00056C23"/>
    <w:rsid w:val="000653A6"/>
    <w:rsid w:val="00067A24"/>
    <w:rsid w:val="0008077F"/>
    <w:rsid w:val="00080DA7"/>
    <w:rsid w:val="00081C2C"/>
    <w:rsid w:val="00082AFE"/>
    <w:rsid w:val="00084F94"/>
    <w:rsid w:val="000934A5"/>
    <w:rsid w:val="00093AFC"/>
    <w:rsid w:val="00094003"/>
    <w:rsid w:val="0009646D"/>
    <w:rsid w:val="0009732A"/>
    <w:rsid w:val="000A0737"/>
    <w:rsid w:val="000A74D7"/>
    <w:rsid w:val="000A76F9"/>
    <w:rsid w:val="000B5BE3"/>
    <w:rsid w:val="000C05C8"/>
    <w:rsid w:val="000C33E3"/>
    <w:rsid w:val="000C50C8"/>
    <w:rsid w:val="000C7253"/>
    <w:rsid w:val="000D04AD"/>
    <w:rsid w:val="000D17E9"/>
    <w:rsid w:val="000D5648"/>
    <w:rsid w:val="000E1796"/>
    <w:rsid w:val="000E26B5"/>
    <w:rsid w:val="000E4153"/>
    <w:rsid w:val="000E47FD"/>
    <w:rsid w:val="000E6A92"/>
    <w:rsid w:val="000F3A17"/>
    <w:rsid w:val="000F7A58"/>
    <w:rsid w:val="00100749"/>
    <w:rsid w:val="001078F2"/>
    <w:rsid w:val="001140E8"/>
    <w:rsid w:val="00115297"/>
    <w:rsid w:val="001174AE"/>
    <w:rsid w:val="00121206"/>
    <w:rsid w:val="001256DA"/>
    <w:rsid w:val="00130A5A"/>
    <w:rsid w:val="00131E4A"/>
    <w:rsid w:val="00133E56"/>
    <w:rsid w:val="00134F0A"/>
    <w:rsid w:val="001470B2"/>
    <w:rsid w:val="00161EDF"/>
    <w:rsid w:val="00162545"/>
    <w:rsid w:val="00164EA7"/>
    <w:rsid w:val="00167A82"/>
    <w:rsid w:val="00171055"/>
    <w:rsid w:val="00176645"/>
    <w:rsid w:val="001A0194"/>
    <w:rsid w:val="001A3E5E"/>
    <w:rsid w:val="001C1C4C"/>
    <w:rsid w:val="001C48D6"/>
    <w:rsid w:val="001C6455"/>
    <w:rsid w:val="001D087F"/>
    <w:rsid w:val="001E4B58"/>
    <w:rsid w:val="001F6BC1"/>
    <w:rsid w:val="002001C1"/>
    <w:rsid w:val="002040E4"/>
    <w:rsid w:val="00210DEC"/>
    <w:rsid w:val="00220820"/>
    <w:rsid w:val="0022570B"/>
    <w:rsid w:val="00225C0D"/>
    <w:rsid w:val="00240B83"/>
    <w:rsid w:val="002432F1"/>
    <w:rsid w:val="00254E45"/>
    <w:rsid w:val="00257E20"/>
    <w:rsid w:val="0026117F"/>
    <w:rsid w:val="00261B6D"/>
    <w:rsid w:val="00276CB9"/>
    <w:rsid w:val="00284D61"/>
    <w:rsid w:val="00290FDD"/>
    <w:rsid w:val="002A091D"/>
    <w:rsid w:val="002A30D1"/>
    <w:rsid w:val="002A330E"/>
    <w:rsid w:val="002A6D35"/>
    <w:rsid w:val="002B156A"/>
    <w:rsid w:val="002B2980"/>
    <w:rsid w:val="002B677A"/>
    <w:rsid w:val="002C26C5"/>
    <w:rsid w:val="002D53D1"/>
    <w:rsid w:val="002E3C7E"/>
    <w:rsid w:val="002E4D73"/>
    <w:rsid w:val="002E5453"/>
    <w:rsid w:val="002F0BD2"/>
    <w:rsid w:val="002F5DBD"/>
    <w:rsid w:val="00303614"/>
    <w:rsid w:val="00314D48"/>
    <w:rsid w:val="003173A4"/>
    <w:rsid w:val="003263DA"/>
    <w:rsid w:val="0033128E"/>
    <w:rsid w:val="00344FA6"/>
    <w:rsid w:val="0035416E"/>
    <w:rsid w:val="00364DF5"/>
    <w:rsid w:val="003720A2"/>
    <w:rsid w:val="00372423"/>
    <w:rsid w:val="003747A2"/>
    <w:rsid w:val="00380CA6"/>
    <w:rsid w:val="0038115E"/>
    <w:rsid w:val="0039034E"/>
    <w:rsid w:val="003923A6"/>
    <w:rsid w:val="0039736D"/>
    <w:rsid w:val="003976A0"/>
    <w:rsid w:val="003B284A"/>
    <w:rsid w:val="003B3485"/>
    <w:rsid w:val="003B3A82"/>
    <w:rsid w:val="003B5FF7"/>
    <w:rsid w:val="003C03A3"/>
    <w:rsid w:val="003C4CB6"/>
    <w:rsid w:val="003C506D"/>
    <w:rsid w:val="003D4A68"/>
    <w:rsid w:val="003E40ED"/>
    <w:rsid w:val="003E4FCD"/>
    <w:rsid w:val="003E5F26"/>
    <w:rsid w:val="003F373C"/>
    <w:rsid w:val="00401491"/>
    <w:rsid w:val="00422F3A"/>
    <w:rsid w:val="004317EA"/>
    <w:rsid w:val="00431E5A"/>
    <w:rsid w:val="00432337"/>
    <w:rsid w:val="004470FD"/>
    <w:rsid w:val="0045462D"/>
    <w:rsid w:val="00464908"/>
    <w:rsid w:val="00464EFF"/>
    <w:rsid w:val="004713B1"/>
    <w:rsid w:val="004756EC"/>
    <w:rsid w:val="004777D4"/>
    <w:rsid w:val="0048083A"/>
    <w:rsid w:val="00480F99"/>
    <w:rsid w:val="00482486"/>
    <w:rsid w:val="00483646"/>
    <w:rsid w:val="00483C1F"/>
    <w:rsid w:val="00494985"/>
    <w:rsid w:val="00496B89"/>
    <w:rsid w:val="00497C25"/>
    <w:rsid w:val="004A0CAE"/>
    <w:rsid w:val="004A4FB1"/>
    <w:rsid w:val="004B4540"/>
    <w:rsid w:val="004B78AA"/>
    <w:rsid w:val="004C5F10"/>
    <w:rsid w:val="004C73F2"/>
    <w:rsid w:val="004D02A3"/>
    <w:rsid w:val="004D0836"/>
    <w:rsid w:val="004D227E"/>
    <w:rsid w:val="004E09D2"/>
    <w:rsid w:val="004E1256"/>
    <w:rsid w:val="004E17B7"/>
    <w:rsid w:val="004E3BA9"/>
    <w:rsid w:val="004E581E"/>
    <w:rsid w:val="004F2B7B"/>
    <w:rsid w:val="004F2E5E"/>
    <w:rsid w:val="004F493F"/>
    <w:rsid w:val="004F5D3E"/>
    <w:rsid w:val="005002CF"/>
    <w:rsid w:val="0050335F"/>
    <w:rsid w:val="00510971"/>
    <w:rsid w:val="00511CD7"/>
    <w:rsid w:val="00522D79"/>
    <w:rsid w:val="00532620"/>
    <w:rsid w:val="00533448"/>
    <w:rsid w:val="00533A5B"/>
    <w:rsid w:val="0054232D"/>
    <w:rsid w:val="005437D9"/>
    <w:rsid w:val="0054419F"/>
    <w:rsid w:val="00550C43"/>
    <w:rsid w:val="0055128E"/>
    <w:rsid w:val="005514AD"/>
    <w:rsid w:val="0055151B"/>
    <w:rsid w:val="00564D64"/>
    <w:rsid w:val="005650BF"/>
    <w:rsid w:val="005710BC"/>
    <w:rsid w:val="005739D3"/>
    <w:rsid w:val="005762FD"/>
    <w:rsid w:val="00576762"/>
    <w:rsid w:val="005826EB"/>
    <w:rsid w:val="005871A1"/>
    <w:rsid w:val="005914B3"/>
    <w:rsid w:val="0059637F"/>
    <w:rsid w:val="005B05B5"/>
    <w:rsid w:val="005B39D3"/>
    <w:rsid w:val="005B4ECC"/>
    <w:rsid w:val="005C0AFC"/>
    <w:rsid w:val="005D7DB9"/>
    <w:rsid w:val="005E5E5B"/>
    <w:rsid w:val="005F3661"/>
    <w:rsid w:val="005F5C39"/>
    <w:rsid w:val="00606552"/>
    <w:rsid w:val="00610D95"/>
    <w:rsid w:val="00620BA6"/>
    <w:rsid w:val="006210F2"/>
    <w:rsid w:val="00634253"/>
    <w:rsid w:val="006360EB"/>
    <w:rsid w:val="00636429"/>
    <w:rsid w:val="00644C5B"/>
    <w:rsid w:val="00664465"/>
    <w:rsid w:val="006702DB"/>
    <w:rsid w:val="00675895"/>
    <w:rsid w:val="00685503"/>
    <w:rsid w:val="00685691"/>
    <w:rsid w:val="006A4300"/>
    <w:rsid w:val="006A6C8C"/>
    <w:rsid w:val="006A7E40"/>
    <w:rsid w:val="006A7FB0"/>
    <w:rsid w:val="006B6F0D"/>
    <w:rsid w:val="006C5735"/>
    <w:rsid w:val="006C6862"/>
    <w:rsid w:val="006D2915"/>
    <w:rsid w:val="006E29AC"/>
    <w:rsid w:val="006E4B5F"/>
    <w:rsid w:val="006E5BE6"/>
    <w:rsid w:val="006E77F7"/>
    <w:rsid w:val="006F30E4"/>
    <w:rsid w:val="006F4A4C"/>
    <w:rsid w:val="006F709F"/>
    <w:rsid w:val="007022A4"/>
    <w:rsid w:val="007062FC"/>
    <w:rsid w:val="007114C1"/>
    <w:rsid w:val="00715388"/>
    <w:rsid w:val="00716E79"/>
    <w:rsid w:val="007242B5"/>
    <w:rsid w:val="00724C98"/>
    <w:rsid w:val="0072628C"/>
    <w:rsid w:val="007334BB"/>
    <w:rsid w:val="00733AB3"/>
    <w:rsid w:val="0073640F"/>
    <w:rsid w:val="00742069"/>
    <w:rsid w:val="00742CC0"/>
    <w:rsid w:val="00745B9E"/>
    <w:rsid w:val="00757508"/>
    <w:rsid w:val="007749F6"/>
    <w:rsid w:val="00776CDD"/>
    <w:rsid w:val="007847A5"/>
    <w:rsid w:val="00791219"/>
    <w:rsid w:val="007A013E"/>
    <w:rsid w:val="007A3F4B"/>
    <w:rsid w:val="007A561B"/>
    <w:rsid w:val="007A7839"/>
    <w:rsid w:val="007B7873"/>
    <w:rsid w:val="007B7D05"/>
    <w:rsid w:val="007C1C06"/>
    <w:rsid w:val="007C2474"/>
    <w:rsid w:val="007C46DC"/>
    <w:rsid w:val="007C6DC3"/>
    <w:rsid w:val="007C6F24"/>
    <w:rsid w:val="007C79DC"/>
    <w:rsid w:val="007D027C"/>
    <w:rsid w:val="007D2903"/>
    <w:rsid w:val="007D4877"/>
    <w:rsid w:val="007E7059"/>
    <w:rsid w:val="0080392F"/>
    <w:rsid w:val="008072A0"/>
    <w:rsid w:val="00813AA2"/>
    <w:rsid w:val="008365CB"/>
    <w:rsid w:val="008412DE"/>
    <w:rsid w:val="00850F72"/>
    <w:rsid w:val="008551EA"/>
    <w:rsid w:val="00855BB1"/>
    <w:rsid w:val="00855C79"/>
    <w:rsid w:val="00857B60"/>
    <w:rsid w:val="008616B9"/>
    <w:rsid w:val="0086191A"/>
    <w:rsid w:val="00864211"/>
    <w:rsid w:val="008642A0"/>
    <w:rsid w:val="008711F0"/>
    <w:rsid w:val="00873FC7"/>
    <w:rsid w:val="00876EE9"/>
    <w:rsid w:val="00880F9E"/>
    <w:rsid w:val="008833BD"/>
    <w:rsid w:val="00893193"/>
    <w:rsid w:val="00894973"/>
    <w:rsid w:val="00897095"/>
    <w:rsid w:val="008A092B"/>
    <w:rsid w:val="008A150E"/>
    <w:rsid w:val="008A2FBD"/>
    <w:rsid w:val="008B566C"/>
    <w:rsid w:val="008C3CDC"/>
    <w:rsid w:val="008C6481"/>
    <w:rsid w:val="008C7FDA"/>
    <w:rsid w:val="008D1515"/>
    <w:rsid w:val="008D1F3A"/>
    <w:rsid w:val="008E0334"/>
    <w:rsid w:val="008E5E0C"/>
    <w:rsid w:val="008E62E2"/>
    <w:rsid w:val="00901E12"/>
    <w:rsid w:val="00905E47"/>
    <w:rsid w:val="00906B8D"/>
    <w:rsid w:val="00912187"/>
    <w:rsid w:val="00912EB6"/>
    <w:rsid w:val="00916F2A"/>
    <w:rsid w:val="00920685"/>
    <w:rsid w:val="00933F51"/>
    <w:rsid w:val="0093422A"/>
    <w:rsid w:val="00945D1D"/>
    <w:rsid w:val="00951331"/>
    <w:rsid w:val="00952F03"/>
    <w:rsid w:val="00960020"/>
    <w:rsid w:val="00960681"/>
    <w:rsid w:val="00961255"/>
    <w:rsid w:val="009615A4"/>
    <w:rsid w:val="00967A11"/>
    <w:rsid w:val="00977D72"/>
    <w:rsid w:val="00985752"/>
    <w:rsid w:val="00986B74"/>
    <w:rsid w:val="0099189C"/>
    <w:rsid w:val="009A19DF"/>
    <w:rsid w:val="009A6B0C"/>
    <w:rsid w:val="009B203E"/>
    <w:rsid w:val="009C72C9"/>
    <w:rsid w:val="009E0C4D"/>
    <w:rsid w:val="009E2D14"/>
    <w:rsid w:val="009F101C"/>
    <w:rsid w:val="009F791A"/>
    <w:rsid w:val="00A0032D"/>
    <w:rsid w:val="00A10C68"/>
    <w:rsid w:val="00A215AA"/>
    <w:rsid w:val="00A251F1"/>
    <w:rsid w:val="00A31F64"/>
    <w:rsid w:val="00A33F3B"/>
    <w:rsid w:val="00A358A5"/>
    <w:rsid w:val="00A51154"/>
    <w:rsid w:val="00A51701"/>
    <w:rsid w:val="00A54837"/>
    <w:rsid w:val="00A56824"/>
    <w:rsid w:val="00A60829"/>
    <w:rsid w:val="00A63733"/>
    <w:rsid w:val="00A6723A"/>
    <w:rsid w:val="00A76E65"/>
    <w:rsid w:val="00A80759"/>
    <w:rsid w:val="00A8201D"/>
    <w:rsid w:val="00A82BF9"/>
    <w:rsid w:val="00A84DE1"/>
    <w:rsid w:val="00A85A82"/>
    <w:rsid w:val="00A87707"/>
    <w:rsid w:val="00A94FD9"/>
    <w:rsid w:val="00AA0CF4"/>
    <w:rsid w:val="00AA5092"/>
    <w:rsid w:val="00AA540F"/>
    <w:rsid w:val="00AA662A"/>
    <w:rsid w:val="00AB0827"/>
    <w:rsid w:val="00AB5977"/>
    <w:rsid w:val="00AD1903"/>
    <w:rsid w:val="00AD3350"/>
    <w:rsid w:val="00AD4F7F"/>
    <w:rsid w:val="00AD5D48"/>
    <w:rsid w:val="00AF0D7B"/>
    <w:rsid w:val="00B0596A"/>
    <w:rsid w:val="00B10132"/>
    <w:rsid w:val="00B167A1"/>
    <w:rsid w:val="00B17CCA"/>
    <w:rsid w:val="00B21674"/>
    <w:rsid w:val="00B217AD"/>
    <w:rsid w:val="00B23B8F"/>
    <w:rsid w:val="00B26AAC"/>
    <w:rsid w:val="00B32763"/>
    <w:rsid w:val="00B34E48"/>
    <w:rsid w:val="00B416AF"/>
    <w:rsid w:val="00B45620"/>
    <w:rsid w:val="00B469B7"/>
    <w:rsid w:val="00B50215"/>
    <w:rsid w:val="00B57376"/>
    <w:rsid w:val="00B62762"/>
    <w:rsid w:val="00B67E87"/>
    <w:rsid w:val="00B96C8E"/>
    <w:rsid w:val="00BA66D6"/>
    <w:rsid w:val="00BF285B"/>
    <w:rsid w:val="00BF3885"/>
    <w:rsid w:val="00BF3D0A"/>
    <w:rsid w:val="00C01DAB"/>
    <w:rsid w:val="00C05DCB"/>
    <w:rsid w:val="00C10ECE"/>
    <w:rsid w:val="00C13CE4"/>
    <w:rsid w:val="00C17370"/>
    <w:rsid w:val="00C176E2"/>
    <w:rsid w:val="00C26884"/>
    <w:rsid w:val="00C32691"/>
    <w:rsid w:val="00C32C8D"/>
    <w:rsid w:val="00C42C69"/>
    <w:rsid w:val="00C431A5"/>
    <w:rsid w:val="00C50131"/>
    <w:rsid w:val="00C546AA"/>
    <w:rsid w:val="00C617D5"/>
    <w:rsid w:val="00C61DEB"/>
    <w:rsid w:val="00C65AF3"/>
    <w:rsid w:val="00C705E7"/>
    <w:rsid w:val="00C83136"/>
    <w:rsid w:val="00C84014"/>
    <w:rsid w:val="00C86D0E"/>
    <w:rsid w:val="00C90442"/>
    <w:rsid w:val="00C90B86"/>
    <w:rsid w:val="00C92B21"/>
    <w:rsid w:val="00C94730"/>
    <w:rsid w:val="00CB7306"/>
    <w:rsid w:val="00CC712A"/>
    <w:rsid w:val="00CD3904"/>
    <w:rsid w:val="00CE4CCB"/>
    <w:rsid w:val="00CF0E69"/>
    <w:rsid w:val="00CF34C5"/>
    <w:rsid w:val="00D06964"/>
    <w:rsid w:val="00D06DBA"/>
    <w:rsid w:val="00D14E1C"/>
    <w:rsid w:val="00D1659B"/>
    <w:rsid w:val="00D17714"/>
    <w:rsid w:val="00D178A4"/>
    <w:rsid w:val="00D2021E"/>
    <w:rsid w:val="00D24E3B"/>
    <w:rsid w:val="00D26E3F"/>
    <w:rsid w:val="00D27EB2"/>
    <w:rsid w:val="00D35A60"/>
    <w:rsid w:val="00D3775F"/>
    <w:rsid w:val="00D41512"/>
    <w:rsid w:val="00D60CB4"/>
    <w:rsid w:val="00D614C3"/>
    <w:rsid w:val="00D62708"/>
    <w:rsid w:val="00D633DD"/>
    <w:rsid w:val="00D63553"/>
    <w:rsid w:val="00D67FCA"/>
    <w:rsid w:val="00D7061C"/>
    <w:rsid w:val="00D74907"/>
    <w:rsid w:val="00D948D9"/>
    <w:rsid w:val="00DA0885"/>
    <w:rsid w:val="00DA2CD0"/>
    <w:rsid w:val="00DA3073"/>
    <w:rsid w:val="00DB0B76"/>
    <w:rsid w:val="00DB4153"/>
    <w:rsid w:val="00DB4900"/>
    <w:rsid w:val="00DC280B"/>
    <w:rsid w:val="00DC6C88"/>
    <w:rsid w:val="00DC6DC0"/>
    <w:rsid w:val="00DD133B"/>
    <w:rsid w:val="00DD5ECC"/>
    <w:rsid w:val="00DE7858"/>
    <w:rsid w:val="00DE7B9B"/>
    <w:rsid w:val="00DF0BF5"/>
    <w:rsid w:val="00DF42DD"/>
    <w:rsid w:val="00DF4318"/>
    <w:rsid w:val="00E0013C"/>
    <w:rsid w:val="00E036DB"/>
    <w:rsid w:val="00E043A6"/>
    <w:rsid w:val="00E110A9"/>
    <w:rsid w:val="00E1589F"/>
    <w:rsid w:val="00E169B6"/>
    <w:rsid w:val="00E16B97"/>
    <w:rsid w:val="00E24679"/>
    <w:rsid w:val="00E43682"/>
    <w:rsid w:val="00E44C09"/>
    <w:rsid w:val="00E46071"/>
    <w:rsid w:val="00E610E5"/>
    <w:rsid w:val="00E61BCE"/>
    <w:rsid w:val="00E6272D"/>
    <w:rsid w:val="00E62E41"/>
    <w:rsid w:val="00E74C0F"/>
    <w:rsid w:val="00E74FE2"/>
    <w:rsid w:val="00E83F6D"/>
    <w:rsid w:val="00E84286"/>
    <w:rsid w:val="00E9708D"/>
    <w:rsid w:val="00E97182"/>
    <w:rsid w:val="00EA4138"/>
    <w:rsid w:val="00EB7F5A"/>
    <w:rsid w:val="00EC4BE6"/>
    <w:rsid w:val="00EC4C81"/>
    <w:rsid w:val="00ED57E4"/>
    <w:rsid w:val="00ED7359"/>
    <w:rsid w:val="00ED7804"/>
    <w:rsid w:val="00EE22E3"/>
    <w:rsid w:val="00EE7C9F"/>
    <w:rsid w:val="00EF1ACD"/>
    <w:rsid w:val="00F01E65"/>
    <w:rsid w:val="00F16A2B"/>
    <w:rsid w:val="00F16B3D"/>
    <w:rsid w:val="00F17330"/>
    <w:rsid w:val="00F25AC3"/>
    <w:rsid w:val="00F33D5F"/>
    <w:rsid w:val="00F40FE5"/>
    <w:rsid w:val="00F50153"/>
    <w:rsid w:val="00F50E96"/>
    <w:rsid w:val="00F52163"/>
    <w:rsid w:val="00F5545F"/>
    <w:rsid w:val="00F6334C"/>
    <w:rsid w:val="00F637E9"/>
    <w:rsid w:val="00F657BD"/>
    <w:rsid w:val="00F76789"/>
    <w:rsid w:val="00F91ADF"/>
    <w:rsid w:val="00F9468C"/>
    <w:rsid w:val="00FD0179"/>
    <w:rsid w:val="00FD2989"/>
    <w:rsid w:val="00FD4D6D"/>
    <w:rsid w:val="00FE0BB4"/>
    <w:rsid w:val="00FE0F41"/>
    <w:rsid w:val="00FF2F9C"/>
    <w:rsid w:val="00FF37D2"/>
    <w:rsid w:val="00FF634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83B1"/>
  <w15:docId w15:val="{D3772AE8-8711-4967-9FFA-8CF3FA4A1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56EC"/>
    <w:pPr>
      <w:spacing w:after="0" w:line="240" w:lineRule="auto"/>
    </w:pPr>
    <w:rPr>
      <w:rFonts w:ascii="Times New Roman" w:hAnsi="Times New Roman"/>
      <w:sz w:val="20"/>
    </w:rPr>
  </w:style>
  <w:style w:type="paragraph" w:styleId="Heading1">
    <w:name w:val="heading 1"/>
    <w:basedOn w:val="Normal"/>
    <w:next w:val="Normal"/>
    <w:link w:val="Heading1Char"/>
    <w:uiPriority w:val="9"/>
    <w:qFormat/>
    <w:rsid w:val="004756EC"/>
    <w:pPr>
      <w:keepNext/>
      <w:keepLines/>
      <w:numPr>
        <w:numId w:val="1"/>
      </w:numP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050A47"/>
    <w:pPr>
      <w:keepNext/>
      <w:keepLines/>
      <w:numPr>
        <w:ilvl w:val="1"/>
        <w:numId w:val="1"/>
      </w:numPr>
      <w:spacing w:before="20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B23B8F"/>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3B8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3B8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3B8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3B8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3B8F"/>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3B8F"/>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B5FF7"/>
    <w:rPr>
      <w:szCs w:val="20"/>
    </w:rPr>
  </w:style>
  <w:style w:type="character" w:customStyle="1" w:styleId="FootnoteTextChar">
    <w:name w:val="Footnote Text Char"/>
    <w:basedOn w:val="DefaultParagraphFont"/>
    <w:link w:val="FootnoteText"/>
    <w:uiPriority w:val="99"/>
    <w:semiHidden/>
    <w:rsid w:val="003B5FF7"/>
    <w:rPr>
      <w:sz w:val="20"/>
      <w:szCs w:val="20"/>
    </w:rPr>
  </w:style>
  <w:style w:type="character" w:styleId="FootnoteReference">
    <w:name w:val="footnote reference"/>
    <w:basedOn w:val="DefaultParagraphFont"/>
    <w:uiPriority w:val="99"/>
    <w:semiHidden/>
    <w:unhideWhenUsed/>
    <w:rsid w:val="003B5FF7"/>
    <w:rPr>
      <w:vertAlign w:val="superscript"/>
    </w:rPr>
  </w:style>
  <w:style w:type="paragraph" w:styleId="EndnoteText">
    <w:name w:val="endnote text"/>
    <w:basedOn w:val="Normal"/>
    <w:link w:val="EndnoteTextChar"/>
    <w:uiPriority w:val="99"/>
    <w:semiHidden/>
    <w:unhideWhenUsed/>
    <w:rsid w:val="003B5FF7"/>
    <w:rPr>
      <w:szCs w:val="20"/>
    </w:rPr>
  </w:style>
  <w:style w:type="character" w:customStyle="1" w:styleId="EndnoteTextChar">
    <w:name w:val="Endnote Text Char"/>
    <w:basedOn w:val="DefaultParagraphFont"/>
    <w:link w:val="EndnoteText"/>
    <w:uiPriority w:val="99"/>
    <w:semiHidden/>
    <w:rsid w:val="003B5FF7"/>
    <w:rPr>
      <w:sz w:val="20"/>
      <w:szCs w:val="20"/>
    </w:rPr>
  </w:style>
  <w:style w:type="character" w:styleId="EndnoteReference">
    <w:name w:val="endnote reference"/>
    <w:basedOn w:val="DefaultParagraphFont"/>
    <w:uiPriority w:val="99"/>
    <w:semiHidden/>
    <w:unhideWhenUsed/>
    <w:rsid w:val="003B5FF7"/>
    <w:rPr>
      <w:vertAlign w:val="superscript"/>
    </w:rPr>
  </w:style>
  <w:style w:type="paragraph" w:styleId="Header">
    <w:name w:val="header"/>
    <w:basedOn w:val="Normal"/>
    <w:link w:val="HeaderChar"/>
    <w:uiPriority w:val="99"/>
    <w:unhideWhenUsed/>
    <w:rsid w:val="00532620"/>
    <w:pPr>
      <w:tabs>
        <w:tab w:val="center" w:pos="4680"/>
        <w:tab w:val="right" w:pos="9360"/>
      </w:tabs>
    </w:pPr>
  </w:style>
  <w:style w:type="character" w:customStyle="1" w:styleId="HeaderChar">
    <w:name w:val="Header Char"/>
    <w:basedOn w:val="DefaultParagraphFont"/>
    <w:link w:val="Header"/>
    <w:uiPriority w:val="99"/>
    <w:rsid w:val="00532620"/>
  </w:style>
  <w:style w:type="paragraph" w:styleId="Footer">
    <w:name w:val="footer"/>
    <w:basedOn w:val="Normal"/>
    <w:link w:val="FooterChar"/>
    <w:uiPriority w:val="99"/>
    <w:unhideWhenUsed/>
    <w:rsid w:val="00532620"/>
    <w:pPr>
      <w:tabs>
        <w:tab w:val="center" w:pos="4680"/>
        <w:tab w:val="right" w:pos="9360"/>
      </w:tabs>
    </w:pPr>
  </w:style>
  <w:style w:type="character" w:customStyle="1" w:styleId="FooterChar">
    <w:name w:val="Footer Char"/>
    <w:basedOn w:val="DefaultParagraphFont"/>
    <w:link w:val="Footer"/>
    <w:uiPriority w:val="99"/>
    <w:rsid w:val="00532620"/>
  </w:style>
  <w:style w:type="character" w:customStyle="1" w:styleId="Heading1Char">
    <w:name w:val="Heading 1 Char"/>
    <w:basedOn w:val="DefaultParagraphFont"/>
    <w:link w:val="Heading1"/>
    <w:uiPriority w:val="9"/>
    <w:rsid w:val="004756EC"/>
    <w:rPr>
      <w:rFonts w:ascii="Times New Roman" w:eastAsiaTheme="majorEastAsia" w:hAnsi="Times New Roman" w:cstheme="majorBidi"/>
      <w:b/>
      <w:bCs/>
      <w:sz w:val="20"/>
      <w:szCs w:val="28"/>
    </w:rPr>
  </w:style>
  <w:style w:type="paragraph" w:styleId="NoSpacing">
    <w:name w:val="No Spacing"/>
    <w:uiPriority w:val="1"/>
    <w:qFormat/>
    <w:rsid w:val="00050A47"/>
    <w:pPr>
      <w:spacing w:after="0" w:line="240" w:lineRule="auto"/>
    </w:pPr>
    <w:rPr>
      <w:rFonts w:ascii="Times New Roman" w:hAnsi="Times New Roman"/>
      <w:sz w:val="20"/>
    </w:rPr>
  </w:style>
  <w:style w:type="character" w:customStyle="1" w:styleId="Heading2Char">
    <w:name w:val="Heading 2 Char"/>
    <w:basedOn w:val="DefaultParagraphFont"/>
    <w:link w:val="Heading2"/>
    <w:uiPriority w:val="9"/>
    <w:rsid w:val="00050A47"/>
    <w:rPr>
      <w:rFonts w:ascii="Times New Roman" w:eastAsiaTheme="majorEastAsia" w:hAnsi="Times New Roman" w:cstheme="majorBidi"/>
      <w:b/>
      <w:bCs/>
      <w:i/>
      <w:sz w:val="20"/>
      <w:szCs w:val="26"/>
    </w:rPr>
  </w:style>
  <w:style w:type="table" w:styleId="TableGrid">
    <w:name w:val="Table Grid"/>
    <w:basedOn w:val="TableNormal"/>
    <w:uiPriority w:val="59"/>
    <w:rsid w:val="0054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2474"/>
    <w:rPr>
      <w:color w:val="0000FF" w:themeColor="hyperlink"/>
      <w:u w:val="single"/>
    </w:rPr>
  </w:style>
  <w:style w:type="character" w:styleId="PlaceholderText">
    <w:name w:val="Placeholder Text"/>
    <w:basedOn w:val="DefaultParagraphFont"/>
    <w:uiPriority w:val="99"/>
    <w:semiHidden/>
    <w:rsid w:val="007C2474"/>
    <w:rPr>
      <w:color w:val="808080"/>
    </w:rPr>
  </w:style>
  <w:style w:type="paragraph" w:styleId="BalloonText">
    <w:name w:val="Balloon Text"/>
    <w:basedOn w:val="Normal"/>
    <w:link w:val="BalloonTextChar"/>
    <w:uiPriority w:val="99"/>
    <w:semiHidden/>
    <w:unhideWhenUsed/>
    <w:rsid w:val="007C2474"/>
    <w:rPr>
      <w:rFonts w:ascii="Tahoma" w:hAnsi="Tahoma" w:cs="Tahoma"/>
      <w:sz w:val="16"/>
      <w:szCs w:val="16"/>
    </w:rPr>
  </w:style>
  <w:style w:type="character" w:customStyle="1" w:styleId="BalloonTextChar">
    <w:name w:val="Balloon Text Char"/>
    <w:basedOn w:val="DefaultParagraphFont"/>
    <w:link w:val="BalloonText"/>
    <w:uiPriority w:val="99"/>
    <w:semiHidden/>
    <w:rsid w:val="007C2474"/>
    <w:rPr>
      <w:rFonts w:ascii="Tahoma" w:hAnsi="Tahoma" w:cs="Tahoma"/>
      <w:sz w:val="16"/>
      <w:szCs w:val="16"/>
    </w:rPr>
  </w:style>
  <w:style w:type="paragraph" w:styleId="Caption">
    <w:name w:val="caption"/>
    <w:basedOn w:val="Normal"/>
    <w:next w:val="Normal"/>
    <w:uiPriority w:val="35"/>
    <w:unhideWhenUsed/>
    <w:qFormat/>
    <w:rsid w:val="00B23B8F"/>
    <w:pPr>
      <w:spacing w:after="200"/>
    </w:pPr>
    <w:rPr>
      <w:bCs/>
      <w:szCs w:val="18"/>
    </w:rPr>
  </w:style>
  <w:style w:type="paragraph" w:styleId="ListParagraph">
    <w:name w:val="List Paragraph"/>
    <w:basedOn w:val="Normal"/>
    <w:uiPriority w:val="34"/>
    <w:qFormat/>
    <w:rsid w:val="00B23B8F"/>
    <w:pPr>
      <w:ind w:left="720"/>
      <w:contextualSpacing/>
    </w:pPr>
  </w:style>
  <w:style w:type="character" w:customStyle="1" w:styleId="Heading3Char">
    <w:name w:val="Heading 3 Char"/>
    <w:basedOn w:val="DefaultParagraphFont"/>
    <w:link w:val="Heading3"/>
    <w:uiPriority w:val="9"/>
    <w:rsid w:val="00B23B8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B23B8F"/>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B23B8F"/>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3B8F"/>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3B8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3B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3B8F"/>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986B74"/>
    <w:rPr>
      <w:sz w:val="16"/>
      <w:szCs w:val="16"/>
    </w:rPr>
  </w:style>
  <w:style w:type="paragraph" w:styleId="CommentText">
    <w:name w:val="annotation text"/>
    <w:basedOn w:val="Normal"/>
    <w:link w:val="CommentTextChar"/>
    <w:uiPriority w:val="99"/>
    <w:semiHidden/>
    <w:unhideWhenUsed/>
    <w:rsid w:val="00986B74"/>
    <w:rPr>
      <w:szCs w:val="20"/>
    </w:rPr>
  </w:style>
  <w:style w:type="character" w:customStyle="1" w:styleId="CommentTextChar">
    <w:name w:val="Comment Text Char"/>
    <w:basedOn w:val="DefaultParagraphFont"/>
    <w:link w:val="CommentText"/>
    <w:uiPriority w:val="99"/>
    <w:semiHidden/>
    <w:rsid w:val="00986B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86B74"/>
    <w:rPr>
      <w:b/>
      <w:bCs/>
    </w:rPr>
  </w:style>
  <w:style w:type="character" w:customStyle="1" w:styleId="CommentSubjectChar">
    <w:name w:val="Comment Subject Char"/>
    <w:basedOn w:val="CommentTextChar"/>
    <w:link w:val="CommentSubject"/>
    <w:uiPriority w:val="99"/>
    <w:semiHidden/>
    <w:rsid w:val="00986B74"/>
    <w:rPr>
      <w:rFonts w:ascii="Times New Roman" w:hAnsi="Times New Roman"/>
      <w:b/>
      <w:bCs/>
      <w:sz w:val="20"/>
      <w:szCs w:val="20"/>
    </w:rPr>
  </w:style>
  <w:style w:type="character" w:customStyle="1" w:styleId="UnresolvedMention1">
    <w:name w:val="Unresolved Mention1"/>
    <w:basedOn w:val="DefaultParagraphFont"/>
    <w:uiPriority w:val="99"/>
    <w:semiHidden/>
    <w:unhideWhenUsed/>
    <w:rsid w:val="0055128E"/>
    <w:rPr>
      <w:color w:val="808080"/>
      <w:shd w:val="clear" w:color="auto" w:fill="E6E6E6"/>
    </w:rPr>
  </w:style>
  <w:style w:type="character" w:styleId="FollowedHyperlink">
    <w:name w:val="FollowedHyperlink"/>
    <w:basedOn w:val="DefaultParagraphFont"/>
    <w:uiPriority w:val="99"/>
    <w:semiHidden/>
    <w:unhideWhenUsed/>
    <w:rsid w:val="005512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826224">
      <w:bodyDiv w:val="1"/>
      <w:marLeft w:val="0"/>
      <w:marRight w:val="0"/>
      <w:marTop w:val="0"/>
      <w:marBottom w:val="0"/>
      <w:divBdr>
        <w:top w:val="none" w:sz="0" w:space="0" w:color="auto"/>
        <w:left w:val="none" w:sz="0" w:space="0" w:color="auto"/>
        <w:bottom w:val="none" w:sz="0" w:space="0" w:color="auto"/>
        <w:right w:val="none" w:sz="0" w:space="0" w:color="auto"/>
      </w:divBdr>
      <w:divsChild>
        <w:div w:id="1043095900">
          <w:marLeft w:val="0"/>
          <w:marRight w:val="0"/>
          <w:marTop w:val="0"/>
          <w:marBottom w:val="0"/>
          <w:divBdr>
            <w:top w:val="none" w:sz="0" w:space="0" w:color="auto"/>
            <w:left w:val="none" w:sz="0" w:space="0" w:color="auto"/>
            <w:bottom w:val="none" w:sz="0" w:space="0" w:color="auto"/>
            <w:right w:val="none" w:sz="0" w:space="0" w:color="auto"/>
          </w:divBdr>
          <w:divsChild>
            <w:div w:id="8406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3552">
      <w:bodyDiv w:val="1"/>
      <w:marLeft w:val="0"/>
      <w:marRight w:val="0"/>
      <w:marTop w:val="0"/>
      <w:marBottom w:val="0"/>
      <w:divBdr>
        <w:top w:val="none" w:sz="0" w:space="0" w:color="auto"/>
        <w:left w:val="none" w:sz="0" w:space="0" w:color="auto"/>
        <w:bottom w:val="none" w:sz="0" w:space="0" w:color="auto"/>
        <w:right w:val="none" w:sz="0" w:space="0" w:color="auto"/>
      </w:divBdr>
      <w:divsChild>
        <w:div w:id="1233083604">
          <w:marLeft w:val="0"/>
          <w:marRight w:val="0"/>
          <w:marTop w:val="0"/>
          <w:marBottom w:val="0"/>
          <w:divBdr>
            <w:top w:val="none" w:sz="0" w:space="0" w:color="auto"/>
            <w:left w:val="none" w:sz="0" w:space="0" w:color="auto"/>
            <w:bottom w:val="none" w:sz="0" w:space="0" w:color="auto"/>
            <w:right w:val="none" w:sz="0" w:space="0" w:color="auto"/>
          </w:divBdr>
        </w:div>
        <w:div w:id="1708750065">
          <w:marLeft w:val="0"/>
          <w:marRight w:val="0"/>
          <w:marTop w:val="0"/>
          <w:marBottom w:val="0"/>
          <w:divBdr>
            <w:top w:val="none" w:sz="0" w:space="0" w:color="auto"/>
            <w:left w:val="none" w:sz="0" w:space="0" w:color="auto"/>
            <w:bottom w:val="none" w:sz="0" w:space="0" w:color="auto"/>
            <w:right w:val="none" w:sz="0" w:space="0" w:color="auto"/>
          </w:divBdr>
        </w:div>
        <w:div w:id="1583417455">
          <w:marLeft w:val="0"/>
          <w:marRight w:val="0"/>
          <w:marTop w:val="0"/>
          <w:marBottom w:val="0"/>
          <w:divBdr>
            <w:top w:val="none" w:sz="0" w:space="0" w:color="auto"/>
            <w:left w:val="none" w:sz="0" w:space="0" w:color="auto"/>
            <w:bottom w:val="none" w:sz="0" w:space="0" w:color="auto"/>
            <w:right w:val="none" w:sz="0" w:space="0" w:color="auto"/>
          </w:divBdr>
        </w:div>
        <w:div w:id="539587242">
          <w:marLeft w:val="0"/>
          <w:marRight w:val="0"/>
          <w:marTop w:val="0"/>
          <w:marBottom w:val="0"/>
          <w:divBdr>
            <w:top w:val="none" w:sz="0" w:space="0" w:color="auto"/>
            <w:left w:val="none" w:sz="0" w:space="0" w:color="auto"/>
            <w:bottom w:val="none" w:sz="0" w:space="0" w:color="auto"/>
            <w:right w:val="none" w:sz="0" w:space="0" w:color="auto"/>
          </w:divBdr>
        </w:div>
        <w:div w:id="43992192">
          <w:marLeft w:val="0"/>
          <w:marRight w:val="0"/>
          <w:marTop w:val="0"/>
          <w:marBottom w:val="0"/>
          <w:divBdr>
            <w:top w:val="none" w:sz="0" w:space="0" w:color="auto"/>
            <w:left w:val="none" w:sz="0" w:space="0" w:color="auto"/>
            <w:bottom w:val="none" w:sz="0" w:space="0" w:color="auto"/>
            <w:right w:val="none" w:sz="0" w:space="0" w:color="auto"/>
          </w:divBdr>
        </w:div>
        <w:div w:id="1894462797">
          <w:marLeft w:val="0"/>
          <w:marRight w:val="0"/>
          <w:marTop w:val="0"/>
          <w:marBottom w:val="0"/>
          <w:divBdr>
            <w:top w:val="none" w:sz="0" w:space="0" w:color="auto"/>
            <w:left w:val="none" w:sz="0" w:space="0" w:color="auto"/>
            <w:bottom w:val="none" w:sz="0" w:space="0" w:color="auto"/>
            <w:right w:val="none" w:sz="0" w:space="0" w:color="auto"/>
          </w:divBdr>
        </w:div>
        <w:div w:id="1652129693">
          <w:marLeft w:val="0"/>
          <w:marRight w:val="0"/>
          <w:marTop w:val="0"/>
          <w:marBottom w:val="0"/>
          <w:divBdr>
            <w:top w:val="none" w:sz="0" w:space="0" w:color="auto"/>
            <w:left w:val="none" w:sz="0" w:space="0" w:color="auto"/>
            <w:bottom w:val="none" w:sz="0" w:space="0" w:color="auto"/>
            <w:right w:val="none" w:sz="0" w:space="0" w:color="auto"/>
          </w:divBdr>
        </w:div>
        <w:div w:id="1297905200">
          <w:marLeft w:val="0"/>
          <w:marRight w:val="0"/>
          <w:marTop w:val="0"/>
          <w:marBottom w:val="0"/>
          <w:divBdr>
            <w:top w:val="none" w:sz="0" w:space="0" w:color="auto"/>
            <w:left w:val="none" w:sz="0" w:space="0" w:color="auto"/>
            <w:bottom w:val="none" w:sz="0" w:space="0" w:color="auto"/>
            <w:right w:val="none" w:sz="0" w:space="0" w:color="auto"/>
          </w:divBdr>
        </w:div>
        <w:div w:id="772747349">
          <w:marLeft w:val="0"/>
          <w:marRight w:val="0"/>
          <w:marTop w:val="0"/>
          <w:marBottom w:val="0"/>
          <w:divBdr>
            <w:top w:val="none" w:sz="0" w:space="0" w:color="auto"/>
            <w:left w:val="none" w:sz="0" w:space="0" w:color="auto"/>
            <w:bottom w:val="none" w:sz="0" w:space="0" w:color="auto"/>
            <w:right w:val="none" w:sz="0" w:space="0" w:color="auto"/>
          </w:divBdr>
        </w:div>
        <w:div w:id="1204172730">
          <w:marLeft w:val="0"/>
          <w:marRight w:val="0"/>
          <w:marTop w:val="0"/>
          <w:marBottom w:val="0"/>
          <w:divBdr>
            <w:top w:val="none" w:sz="0" w:space="0" w:color="auto"/>
            <w:left w:val="none" w:sz="0" w:space="0" w:color="auto"/>
            <w:bottom w:val="none" w:sz="0" w:space="0" w:color="auto"/>
            <w:right w:val="none" w:sz="0" w:space="0" w:color="auto"/>
          </w:divBdr>
        </w:div>
        <w:div w:id="2024432584">
          <w:marLeft w:val="0"/>
          <w:marRight w:val="0"/>
          <w:marTop w:val="0"/>
          <w:marBottom w:val="0"/>
          <w:divBdr>
            <w:top w:val="none" w:sz="0" w:space="0" w:color="auto"/>
            <w:left w:val="none" w:sz="0" w:space="0" w:color="auto"/>
            <w:bottom w:val="none" w:sz="0" w:space="0" w:color="auto"/>
            <w:right w:val="none" w:sz="0" w:space="0" w:color="auto"/>
          </w:divBdr>
        </w:div>
        <w:div w:id="478349926">
          <w:marLeft w:val="0"/>
          <w:marRight w:val="0"/>
          <w:marTop w:val="0"/>
          <w:marBottom w:val="0"/>
          <w:divBdr>
            <w:top w:val="none" w:sz="0" w:space="0" w:color="auto"/>
            <w:left w:val="none" w:sz="0" w:space="0" w:color="auto"/>
            <w:bottom w:val="none" w:sz="0" w:space="0" w:color="auto"/>
            <w:right w:val="none" w:sz="0" w:space="0" w:color="auto"/>
          </w:divBdr>
        </w:div>
        <w:div w:id="1932856895">
          <w:marLeft w:val="0"/>
          <w:marRight w:val="0"/>
          <w:marTop w:val="0"/>
          <w:marBottom w:val="0"/>
          <w:divBdr>
            <w:top w:val="none" w:sz="0" w:space="0" w:color="auto"/>
            <w:left w:val="none" w:sz="0" w:space="0" w:color="auto"/>
            <w:bottom w:val="none" w:sz="0" w:space="0" w:color="auto"/>
            <w:right w:val="none" w:sz="0" w:space="0" w:color="auto"/>
          </w:divBdr>
        </w:div>
        <w:div w:id="296763880">
          <w:marLeft w:val="0"/>
          <w:marRight w:val="0"/>
          <w:marTop w:val="0"/>
          <w:marBottom w:val="0"/>
          <w:divBdr>
            <w:top w:val="none" w:sz="0" w:space="0" w:color="auto"/>
            <w:left w:val="none" w:sz="0" w:space="0" w:color="auto"/>
            <w:bottom w:val="none" w:sz="0" w:space="0" w:color="auto"/>
            <w:right w:val="none" w:sz="0" w:space="0" w:color="auto"/>
          </w:divBdr>
        </w:div>
        <w:div w:id="1820338894">
          <w:marLeft w:val="0"/>
          <w:marRight w:val="0"/>
          <w:marTop w:val="0"/>
          <w:marBottom w:val="0"/>
          <w:divBdr>
            <w:top w:val="none" w:sz="0" w:space="0" w:color="auto"/>
            <w:left w:val="none" w:sz="0" w:space="0" w:color="auto"/>
            <w:bottom w:val="none" w:sz="0" w:space="0" w:color="auto"/>
            <w:right w:val="none" w:sz="0" w:space="0" w:color="auto"/>
          </w:divBdr>
        </w:div>
      </w:divsChild>
    </w:div>
    <w:div w:id="1451709105">
      <w:bodyDiv w:val="1"/>
      <w:marLeft w:val="0"/>
      <w:marRight w:val="0"/>
      <w:marTop w:val="0"/>
      <w:marBottom w:val="0"/>
      <w:divBdr>
        <w:top w:val="none" w:sz="0" w:space="0" w:color="auto"/>
        <w:left w:val="none" w:sz="0" w:space="0" w:color="auto"/>
        <w:bottom w:val="none" w:sz="0" w:space="0" w:color="auto"/>
        <w:right w:val="none" w:sz="0" w:space="0" w:color="auto"/>
      </w:divBdr>
      <w:divsChild>
        <w:div w:id="425660829">
          <w:marLeft w:val="0"/>
          <w:marRight w:val="0"/>
          <w:marTop w:val="0"/>
          <w:marBottom w:val="0"/>
          <w:divBdr>
            <w:top w:val="none" w:sz="0" w:space="0" w:color="auto"/>
            <w:left w:val="none" w:sz="0" w:space="0" w:color="auto"/>
            <w:bottom w:val="none" w:sz="0" w:space="0" w:color="auto"/>
            <w:right w:val="none" w:sz="0" w:space="0" w:color="auto"/>
          </w:divBdr>
        </w:div>
        <w:div w:id="956907011">
          <w:marLeft w:val="0"/>
          <w:marRight w:val="0"/>
          <w:marTop w:val="0"/>
          <w:marBottom w:val="0"/>
          <w:divBdr>
            <w:top w:val="none" w:sz="0" w:space="0" w:color="auto"/>
            <w:left w:val="none" w:sz="0" w:space="0" w:color="auto"/>
            <w:bottom w:val="none" w:sz="0" w:space="0" w:color="auto"/>
            <w:right w:val="none" w:sz="0" w:space="0" w:color="auto"/>
          </w:divBdr>
        </w:div>
        <w:div w:id="48652639">
          <w:marLeft w:val="0"/>
          <w:marRight w:val="0"/>
          <w:marTop w:val="0"/>
          <w:marBottom w:val="0"/>
          <w:divBdr>
            <w:top w:val="none" w:sz="0" w:space="0" w:color="auto"/>
            <w:left w:val="none" w:sz="0" w:space="0" w:color="auto"/>
            <w:bottom w:val="none" w:sz="0" w:space="0" w:color="auto"/>
            <w:right w:val="none" w:sz="0" w:space="0" w:color="auto"/>
          </w:divBdr>
        </w:div>
        <w:div w:id="729111830">
          <w:marLeft w:val="0"/>
          <w:marRight w:val="0"/>
          <w:marTop w:val="0"/>
          <w:marBottom w:val="0"/>
          <w:divBdr>
            <w:top w:val="none" w:sz="0" w:space="0" w:color="auto"/>
            <w:left w:val="none" w:sz="0" w:space="0" w:color="auto"/>
            <w:bottom w:val="none" w:sz="0" w:space="0" w:color="auto"/>
            <w:right w:val="none" w:sz="0" w:space="0" w:color="auto"/>
          </w:divBdr>
        </w:div>
        <w:div w:id="1176312948">
          <w:marLeft w:val="0"/>
          <w:marRight w:val="0"/>
          <w:marTop w:val="0"/>
          <w:marBottom w:val="0"/>
          <w:divBdr>
            <w:top w:val="none" w:sz="0" w:space="0" w:color="auto"/>
            <w:left w:val="none" w:sz="0" w:space="0" w:color="auto"/>
            <w:bottom w:val="none" w:sz="0" w:space="0" w:color="auto"/>
            <w:right w:val="none" w:sz="0" w:space="0" w:color="auto"/>
          </w:divBdr>
        </w:div>
        <w:div w:id="749473952">
          <w:marLeft w:val="0"/>
          <w:marRight w:val="0"/>
          <w:marTop w:val="0"/>
          <w:marBottom w:val="0"/>
          <w:divBdr>
            <w:top w:val="none" w:sz="0" w:space="0" w:color="auto"/>
            <w:left w:val="none" w:sz="0" w:space="0" w:color="auto"/>
            <w:bottom w:val="none" w:sz="0" w:space="0" w:color="auto"/>
            <w:right w:val="none" w:sz="0" w:space="0" w:color="auto"/>
          </w:divBdr>
        </w:div>
        <w:div w:id="1184171593">
          <w:marLeft w:val="0"/>
          <w:marRight w:val="0"/>
          <w:marTop w:val="0"/>
          <w:marBottom w:val="0"/>
          <w:divBdr>
            <w:top w:val="none" w:sz="0" w:space="0" w:color="auto"/>
            <w:left w:val="none" w:sz="0" w:space="0" w:color="auto"/>
            <w:bottom w:val="none" w:sz="0" w:space="0" w:color="auto"/>
            <w:right w:val="none" w:sz="0" w:space="0" w:color="auto"/>
          </w:divBdr>
        </w:div>
        <w:div w:id="488904513">
          <w:marLeft w:val="0"/>
          <w:marRight w:val="0"/>
          <w:marTop w:val="0"/>
          <w:marBottom w:val="0"/>
          <w:divBdr>
            <w:top w:val="none" w:sz="0" w:space="0" w:color="auto"/>
            <w:left w:val="none" w:sz="0" w:space="0" w:color="auto"/>
            <w:bottom w:val="none" w:sz="0" w:space="0" w:color="auto"/>
            <w:right w:val="none" w:sz="0" w:space="0" w:color="auto"/>
          </w:divBdr>
        </w:div>
        <w:div w:id="880441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t.carruthers@oceans.u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1DA5F-D1C0-40C6-899E-89BF20996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9</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TomFast</dc:creator>
  <cp:lastModifiedBy>Thomas Carruthers</cp:lastModifiedBy>
  <cp:revision>5</cp:revision>
  <cp:lastPrinted>2016-11-29T18:11:00Z</cp:lastPrinted>
  <dcterms:created xsi:type="dcterms:W3CDTF">2017-07-13T19:44:00Z</dcterms:created>
  <dcterms:modified xsi:type="dcterms:W3CDTF">2017-07-16T23:49:00Z</dcterms:modified>
</cp:coreProperties>
</file>