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75A0E922" w14:textId="77777777" w:rsidR="006779D1" w:rsidRPr="00590D45" w:rsidRDefault="006779D1" w:rsidP="006779D1">
      <w:pPr>
        <w:jc w:val="both"/>
        <w:rPr>
          <w:rFonts w:cs="Times New Roman"/>
          <w:color w:val="222222"/>
          <w:szCs w:val="20"/>
          <w:highlight w:val="yellow"/>
          <w:shd w:val="clear" w:color="auto" w:fill="FFFFFF"/>
        </w:rPr>
      </w:pPr>
      <w:r w:rsidRPr="00590D45">
        <w:rPr>
          <w:rFonts w:cs="Times New Roman"/>
          <w:color w:val="222222"/>
          <w:szCs w:val="20"/>
          <w:highlight w:val="yellow"/>
          <w:shd w:val="clear" w:color="auto" w:fill="FFFFFF"/>
        </w:rPr>
        <w:t xml:space="preserve">The Management Strategy Evaluation (MSE)/Management Procedure (MP) process is subtle and sometimes complex, and therefore it can be difficult to grasp the essences and implications if presented only in an abstract way. </w:t>
      </w:r>
      <w:proofErr w:type="gramStart"/>
      <w:r w:rsidRPr="00590D45">
        <w:rPr>
          <w:rFonts w:cs="Times New Roman"/>
          <w:color w:val="222222"/>
          <w:szCs w:val="20"/>
          <w:highlight w:val="yellow"/>
          <w:shd w:val="clear" w:color="auto" w:fill="FFFFFF"/>
        </w:rPr>
        <w:t>In an attempt to</w:t>
      </w:r>
      <w:proofErr w:type="gramEnd"/>
      <w:r w:rsidRPr="00590D45">
        <w:rPr>
          <w:rFonts w:cs="Times New Roman"/>
          <w:color w:val="222222"/>
          <w:szCs w:val="20"/>
          <w:highlight w:val="yellow"/>
          <w:shd w:val="clear" w:color="auto" w:fill="FFFFFF"/>
        </w:rPr>
        <w:t xml:space="preserve"> aid the process for enhanced understanding, this document provides an illustrative example of the development of Candidate Management Procedures (MPs) for the Eastern North Atlantic bluefin tuna resource. Its purpose is to draw attention to key components of this process, especially the catch vs resource depletion risk considerations that arise, </w:t>
      </w:r>
      <w:proofErr w:type="gramStart"/>
      <w:r w:rsidRPr="00590D45">
        <w:rPr>
          <w:rFonts w:cs="Times New Roman"/>
          <w:color w:val="222222"/>
          <w:szCs w:val="20"/>
          <w:highlight w:val="yellow"/>
          <w:shd w:val="clear" w:color="auto" w:fill="FFFFFF"/>
        </w:rPr>
        <w:t>so as to</w:t>
      </w:r>
      <w:proofErr w:type="gramEnd"/>
      <w:r w:rsidRPr="00590D45">
        <w:rPr>
          <w:rFonts w:cs="Times New Roman"/>
          <w:color w:val="222222"/>
          <w:szCs w:val="20"/>
          <w:highlight w:val="yellow"/>
          <w:shd w:val="clear" w:color="auto" w:fill="FFFFFF"/>
        </w:rPr>
        <w:t xml:space="preserve"> guide the further development of the MSE/MP process for bluefin tuna within ICCAT.</w:t>
      </w:r>
    </w:p>
    <w:p w14:paraId="391CAE1F" w14:textId="77777777" w:rsidR="006779D1" w:rsidRPr="00590D45" w:rsidRDefault="006779D1" w:rsidP="006779D1">
      <w:pPr>
        <w:jc w:val="both"/>
        <w:rPr>
          <w:rFonts w:cs="Times New Roman"/>
          <w:color w:val="222222"/>
          <w:szCs w:val="20"/>
          <w:highlight w:val="yellow"/>
          <w:shd w:val="clear" w:color="auto" w:fill="FFFFFF"/>
        </w:rPr>
      </w:pPr>
    </w:p>
    <w:p w14:paraId="1C509CFA" w14:textId="77777777" w:rsidR="006779D1" w:rsidRPr="00590D45" w:rsidRDefault="006779D1" w:rsidP="006779D1">
      <w:pPr>
        <w:jc w:val="both"/>
        <w:rPr>
          <w:rFonts w:cs="Times New Roman"/>
          <w:b/>
          <w:szCs w:val="20"/>
          <w:highlight w:val="yellow"/>
        </w:rPr>
      </w:pPr>
      <w:r w:rsidRPr="00590D45">
        <w:rPr>
          <w:rFonts w:cs="Times New Roman"/>
          <w:color w:val="222222"/>
          <w:szCs w:val="20"/>
          <w:highlight w:val="yellow"/>
          <w:shd w:val="clear" w:color="auto" w:fill="FFFFFF"/>
        </w:rPr>
        <w:t xml:space="preserve">The document first develops Operating Models (OMs) to be used to test candidate MPs (CMPs) which are based on statistical catch-at-length (SCAL) assessments of the resource using the most recent data available, </w:t>
      </w:r>
      <w:proofErr w:type="gramStart"/>
      <w:r w:rsidRPr="00590D45">
        <w:rPr>
          <w:rFonts w:cs="Times New Roman"/>
          <w:color w:val="222222"/>
          <w:szCs w:val="20"/>
          <w:highlight w:val="yellow"/>
          <w:shd w:val="clear" w:color="auto" w:fill="FFFFFF"/>
        </w:rPr>
        <w:t>and also</w:t>
      </w:r>
      <w:proofErr w:type="gramEnd"/>
      <w:r w:rsidRPr="00590D45">
        <w:rPr>
          <w:rFonts w:cs="Times New Roman"/>
          <w:color w:val="222222"/>
          <w:szCs w:val="20"/>
          <w:highlight w:val="yellow"/>
          <w:shd w:val="clear" w:color="auto" w:fill="FFFFFF"/>
        </w:rPr>
        <w:t xml:space="preserve"> sets out a few options for projecting these dynamics into the future in line with plausible future recruitment scenarios. The data series to be used as input to the CMPs are specified, and the process used to generate future associated observed values for these developed. Some relatively simple empirical CMPs are specified, and these are applied to the four OMs specified for the resource to determine catch vs resource depletion risk performance. </w:t>
      </w:r>
      <w:proofErr w:type="gramStart"/>
      <w:r w:rsidRPr="00590D45">
        <w:rPr>
          <w:rFonts w:cs="Times New Roman"/>
          <w:color w:val="222222"/>
          <w:szCs w:val="20"/>
          <w:highlight w:val="yellow"/>
          <w:shd w:val="clear" w:color="auto" w:fill="FFFFFF"/>
        </w:rPr>
        <w:t>Finally</w:t>
      </w:r>
      <w:proofErr w:type="gramEnd"/>
      <w:r w:rsidRPr="00590D45">
        <w:rPr>
          <w:rFonts w:cs="Times New Roman"/>
          <w:color w:val="222222"/>
          <w:szCs w:val="20"/>
          <w:highlight w:val="yellow"/>
          <w:shd w:val="clear" w:color="auto" w:fill="FFFFFF"/>
        </w:rPr>
        <w:t xml:space="preserve"> the implications of the outcomes from these calculations for the further development of the ICCAT MSE/MP process for bluefin tuna are discussed.</w:t>
      </w:r>
    </w:p>
    <w:p w14:paraId="31898ACA" w14:textId="77777777" w:rsidR="006779D1" w:rsidRPr="00590D45" w:rsidRDefault="006779D1" w:rsidP="00AF7149">
      <w:pPr>
        <w:rPr>
          <w:highlight w:val="yellow"/>
        </w:rPr>
      </w:pPr>
    </w:p>
    <w:p w14:paraId="43CEF52F" w14:textId="77777777" w:rsidR="006779D1" w:rsidRPr="00590D45" w:rsidRDefault="006779D1" w:rsidP="00AF7149">
      <w:pPr>
        <w:rPr>
          <w:highlight w:val="yellow"/>
        </w:rPr>
      </w:pPr>
    </w:p>
    <w:p w14:paraId="4FAEF25B" w14:textId="049E311E" w:rsidR="00AF7149" w:rsidRPr="00590D45" w:rsidRDefault="00AF7149" w:rsidP="00AF7149">
      <w:pPr>
        <w:rPr>
          <w:highlight w:val="yellow"/>
        </w:rPr>
      </w:pPr>
      <w:r w:rsidRPr="00590D45">
        <w:rPr>
          <w:highlight w:val="yellow"/>
        </w:rPr>
        <w:t>A Management Strategy Evaluation (MSE, Butterworth 1999, Cochrane 1998) approach has been proposed for A</w:t>
      </w:r>
      <w:r w:rsidR="002848B6" w:rsidRPr="00590D45">
        <w:rPr>
          <w:highlight w:val="yellow"/>
        </w:rPr>
        <w:t>tlantic bluefin tuna</w:t>
      </w:r>
      <w:r w:rsidRPr="00590D45">
        <w:rPr>
          <w:highlight w:val="yellow"/>
        </w:rPr>
        <w:t xml:space="preserve"> as a suitable framework for providing robust management advice consistent with the precautionary approach (GBYP 201</w:t>
      </w:r>
      <w:r w:rsidR="002848B6" w:rsidRPr="00590D45">
        <w:rPr>
          <w:highlight w:val="yellow"/>
        </w:rPr>
        <w:t>7a</w:t>
      </w:r>
      <w:r w:rsidRPr="00590D45">
        <w:rPr>
          <w:highlight w:val="yellow"/>
        </w:rPr>
        <w:t xml:space="preserve">). A principal task in the construction of an MSE framework is the development of operating models which represent credible hypotheses for population and fishery dynamics. Operating models are typically fishery stock assessment models which are fitted to data to ensure that model assumptions and estimated parameters are empirically credible (Punt et al. 2014, e.g. CCSBT 2011). </w:t>
      </w:r>
    </w:p>
    <w:p w14:paraId="230A8E62" w14:textId="77777777" w:rsidR="00AF7149" w:rsidRPr="00590D45" w:rsidRDefault="00AF7149" w:rsidP="00AF7149">
      <w:pPr>
        <w:rPr>
          <w:highlight w:val="yellow"/>
        </w:rPr>
      </w:pPr>
    </w:p>
    <w:p w14:paraId="3CB38D25" w14:textId="2BA07E78" w:rsidR="00AF7149" w:rsidRPr="00590D45" w:rsidRDefault="00AF7149" w:rsidP="00AF7149">
      <w:pPr>
        <w:rPr>
          <w:highlight w:val="yellow"/>
        </w:rPr>
      </w:pPr>
      <w:r w:rsidRPr="00590D45">
        <w:rPr>
          <w:highlight w:val="yellow"/>
        </w:rPr>
        <w:t>A general approach for testing MPs using MSE established two sets of operating models. The reference trials (‘Base case’) are considered to reflect the most plausible hypotheses and are the primary basis for identifying</w:t>
      </w:r>
      <w:r w:rsidR="004E1E8D" w:rsidRPr="00590D45">
        <w:rPr>
          <w:highlight w:val="yellow"/>
        </w:rPr>
        <w:t xml:space="preserve"> the</w:t>
      </w:r>
      <w:r w:rsidRPr="00590D45">
        <w:rPr>
          <w:highlight w:val="yellow"/>
        </w:rPr>
        <w:t xml:space="preserve"> </w:t>
      </w:r>
      <w:r w:rsidR="004E1E8D" w:rsidRPr="00590D45">
        <w:rPr>
          <w:highlight w:val="yellow"/>
        </w:rPr>
        <w:t>best performing</w:t>
      </w:r>
      <w:r w:rsidRPr="00590D45">
        <w:rPr>
          <w:highlight w:val="yellow"/>
        </w:rPr>
        <w:t xml:space="preserve"> management </w:t>
      </w:r>
      <w:r w:rsidR="004E1E8D" w:rsidRPr="00590D45">
        <w:rPr>
          <w:highlight w:val="yellow"/>
        </w:rPr>
        <w:t>procedure. R</w:t>
      </w:r>
      <w:r w:rsidRPr="00590D45">
        <w:rPr>
          <w:highlight w:val="yellow"/>
        </w:rPr>
        <w:t xml:space="preserve">obustness trials are used to determine whether the management </w:t>
      </w:r>
      <w:r w:rsidR="004E1E8D" w:rsidRPr="00590D45">
        <w:rPr>
          <w:highlight w:val="yellow"/>
        </w:rPr>
        <w:t>procedure</w:t>
      </w:r>
      <w:r w:rsidRPr="00590D45">
        <w:rPr>
          <w:highlight w:val="yellow"/>
        </w:rPr>
        <w:t xml:space="preserve"> behaves as intended in scenarios that are </w:t>
      </w:r>
      <w:r w:rsidR="004E1E8D" w:rsidRPr="00590D45">
        <w:rPr>
          <w:highlight w:val="yellow"/>
        </w:rPr>
        <w:t>less likely</w:t>
      </w:r>
      <w:r w:rsidRPr="00590D45">
        <w:rPr>
          <w:highlight w:val="yellow"/>
        </w:rPr>
        <w:t>.</w:t>
      </w:r>
    </w:p>
    <w:p w14:paraId="47207E10" w14:textId="77777777" w:rsidR="004E1E8D" w:rsidRPr="00590D45" w:rsidRDefault="004E1E8D" w:rsidP="00AF7149">
      <w:pPr>
        <w:rPr>
          <w:highlight w:val="yellow"/>
        </w:rPr>
      </w:pPr>
    </w:p>
    <w:p w14:paraId="4490F5B1" w14:textId="59340968" w:rsidR="004E1E8D" w:rsidRDefault="004E1E8D" w:rsidP="00AF7149">
      <w:r w:rsidRPr="00590D45">
        <w:rPr>
          <w:highlight w:val="yellow"/>
        </w:rPr>
        <w:t>In this paper the design of the reference set of operating models is described including the fit of these models to data.</w:t>
      </w:r>
      <w:r>
        <w:t xml:space="preserve">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6F952A3B"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operating model.</w:t>
      </w:r>
      <w:r>
        <w:rPr>
          <w:rFonts w:cs="Times New Roman"/>
          <w:szCs w:val="20"/>
        </w:rPr>
        <w:t xml:space="preserve"> </w:t>
      </w:r>
      <w:r w:rsidR="007B470B">
        <w:rPr>
          <w:rFonts w:cs="Times New Roman"/>
          <w:szCs w:val="20"/>
        </w:rPr>
        <w:t xml:space="preserve">The first EMP1 is a very simple index target MP that makes incremental adjustments to the TAC depending on the proximity of index observations to a target level. The second MP, EMP2 </w:t>
      </w:r>
      <w:r>
        <w:rPr>
          <w:rFonts w:cs="Times New Roman"/>
          <w:szCs w:val="20"/>
        </w:rPr>
        <w:t>originate</w:t>
      </w:r>
      <w:r w:rsidR="007B470B">
        <w:rPr>
          <w:rFonts w:cs="Times New Roman"/>
          <w:szCs w:val="20"/>
        </w:rPr>
        <w:t>s</w:t>
      </w:r>
      <w:r>
        <w:rPr>
          <w:rFonts w:cs="Times New Roman"/>
          <w:szCs w:val="20"/>
        </w:rPr>
        <w:t xml:space="preserve"> from </w:t>
      </w:r>
      <w:proofErr w:type="spellStart"/>
      <w:r>
        <w:rPr>
          <w:rFonts w:cs="Times New Roman"/>
          <w:szCs w:val="20"/>
        </w:rPr>
        <w:t>Radermeyer</w:t>
      </w:r>
      <w:proofErr w:type="spellEnd"/>
      <w:r>
        <w:rPr>
          <w:rFonts w:cs="Times New Roman"/>
          <w:szCs w:val="20"/>
        </w:rPr>
        <w:t xml:space="preserve"> and </w:t>
      </w:r>
      <w:r w:rsidR="007B470B">
        <w:rPr>
          <w:rFonts w:cs="Times New Roman"/>
          <w:szCs w:val="20"/>
        </w:rPr>
        <w:t xml:space="preserve">Butterworth (2015) </w:t>
      </w:r>
      <w:proofErr w:type="gramStart"/>
      <w:r w:rsidR="007B470B">
        <w:rPr>
          <w:rFonts w:cs="Times New Roman"/>
          <w:szCs w:val="20"/>
        </w:rPr>
        <w:t>and also</w:t>
      </w:r>
      <w:proofErr w:type="gramEnd"/>
      <w:r w:rsidR="007B470B">
        <w:rPr>
          <w:rFonts w:cs="Times New Roman"/>
          <w:szCs w:val="20"/>
        </w:rPr>
        <w:t xml:space="preserve"> accounts for changes in the slope of indices (whether there is a positive or negative trend) in addition to proximity to a target index level. </w:t>
      </w:r>
      <w:proofErr w:type="gramStart"/>
      <w:r w:rsidR="007B470B">
        <w:rPr>
          <w:rFonts w:cs="Times New Roman"/>
          <w:szCs w:val="20"/>
        </w:rPr>
        <w:t>Both of these</w:t>
      </w:r>
      <w:proofErr w:type="gramEnd"/>
      <w:r w:rsidR="007B470B">
        <w:rPr>
          <w:rFonts w:cs="Times New Roman"/>
          <w:szCs w:val="20"/>
        </w:rPr>
        <w:t xml:space="preserve"> MPs are empirical; they</w:t>
      </w:r>
      <w:r w:rsidR="007B470B">
        <w:rPr>
          <w:rFonts w:cs="Times New Roman"/>
          <w:szCs w:val="20"/>
        </w:rPr>
        <w:t xml:space="preserve"> calculate TACs directly from abundance indices.</w:t>
      </w:r>
      <w:r w:rsidR="007B470B">
        <w:rPr>
          <w:rFonts w:cs="Times New Roman"/>
          <w:szCs w:val="20"/>
        </w:rPr>
        <w:t xml:space="preserve">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414EFB5D" w14:textId="72408AA5" w:rsidR="009A19A7" w:rsidRDefault="003B3A68" w:rsidP="006779D1">
      <w:pPr>
        <w:jc w:val="both"/>
        <w:rPr>
          <w:rFonts w:cs="Times New Roman"/>
          <w:szCs w:val="20"/>
        </w:rPr>
      </w:pPr>
      <w:r>
        <w:rPr>
          <w:rFonts w:cs="Times New Roman"/>
          <w:szCs w:val="20"/>
        </w:rPr>
        <w:t xml:space="preserve">EMP1 is a very simple index target MP. In each year </w:t>
      </w:r>
      <w:r w:rsidRPr="009A19A7">
        <w:rPr>
          <w:rFonts w:cs="Times New Roman"/>
          <w:i/>
          <w:szCs w:val="20"/>
        </w:rPr>
        <w:t>y</w:t>
      </w:r>
      <w:r>
        <w:rPr>
          <w:rFonts w:cs="Times New Roman"/>
          <w:szCs w:val="20"/>
        </w:rPr>
        <w:t xml:space="preserve">, that the TAC is calculated, three inputs are required: the previous TAC recommendation, an mean index </w:t>
      </w:r>
      <w:proofErr w:type="spellStart"/>
      <w:r w:rsidRPr="009A19A7">
        <w:rPr>
          <w:rFonts w:cs="Times New Roman"/>
          <w:i/>
          <w:szCs w:val="20"/>
        </w:rPr>
        <w:t>J</w:t>
      </w:r>
      <w:r w:rsidR="009A19A7" w:rsidRPr="009A19A7">
        <w:rPr>
          <w:rFonts w:cs="Times New Roman"/>
          <w:i/>
          <w:szCs w:val="20"/>
          <w:vertAlign w:val="subscript"/>
        </w:rPr>
        <w:t>y</w:t>
      </w:r>
      <w:proofErr w:type="spellEnd"/>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r w:rsidR="009A19A7">
        <w:rPr>
          <w:rFonts w:cs="Times New Roman"/>
          <w:szCs w:val="20"/>
        </w:rPr>
        <w:t xml:space="preserve">The MP either decreases the TAC by 10%, keeps the TAC the same, or increases the TAC by 10% depending on the ratio of the mean index </w:t>
      </w:r>
      <w:proofErr w:type="spellStart"/>
      <w:r w:rsidR="009A19A7" w:rsidRPr="009A19A7">
        <w:rPr>
          <w:rFonts w:cs="Times New Roman"/>
          <w:i/>
          <w:szCs w:val="20"/>
        </w:rPr>
        <w:t>J</w:t>
      </w:r>
      <w:r w:rsidR="009A19A7" w:rsidRPr="009A19A7">
        <w:rPr>
          <w:rFonts w:cs="Times New Roman"/>
          <w:i/>
          <w:szCs w:val="20"/>
          <w:vertAlign w:val="subscript"/>
        </w:rPr>
        <w:t>y</w:t>
      </w:r>
      <w:proofErr w:type="spellEnd"/>
      <w:r w:rsidR="009A19A7">
        <w:rPr>
          <w:rFonts w:cs="Times New Roman"/>
          <w:szCs w:val="20"/>
        </w:rPr>
        <w:t xml:space="preserve"> to the target index </w:t>
      </w:r>
      <w:proofErr w:type="spellStart"/>
      <w:r w:rsidR="009A19A7" w:rsidRPr="009A19A7">
        <w:rPr>
          <w:rFonts w:cs="Times New Roman"/>
          <w:i/>
          <w:szCs w:val="20"/>
        </w:rPr>
        <w:t>J</w:t>
      </w:r>
      <w:r w:rsidR="009A19A7" w:rsidRPr="009A19A7">
        <w:rPr>
          <w:rFonts w:cs="Times New Roman"/>
          <w:i/>
          <w:szCs w:val="20"/>
          <w:vertAlign w:val="subscript"/>
        </w:rPr>
        <w:t>targ</w:t>
      </w:r>
      <w:proofErr w:type="spellEnd"/>
      <w:r w:rsidR="009A19A7">
        <w:rPr>
          <w:rFonts w:cs="Times New Roman"/>
          <w:szCs w:val="20"/>
        </w:rPr>
        <w:t>:</w:t>
      </w:r>
    </w:p>
    <w:p w14:paraId="0C28D988" w14:textId="77777777" w:rsidR="009A19A7" w:rsidRPr="009A19A7" w:rsidRDefault="009A19A7" w:rsidP="006779D1">
      <w:pPr>
        <w:jc w:val="both"/>
        <w:rPr>
          <w:rFonts w:cs="Times New Roman"/>
          <w:szCs w:val="20"/>
        </w:rPr>
      </w:pPr>
    </w:p>
    <w:p w14:paraId="17639D57" w14:textId="68DCBCD7" w:rsidR="003B3A68" w:rsidRDefault="003B3A68"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Pr>
          <w:rFonts w:eastAsiaTheme="minorEastAsia" w:cs="Times New Roman"/>
          <w:i/>
          <w:szCs w:val="20"/>
        </w:rPr>
        <w:t xml:space="preserve"> </w:t>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Pr>
          <w:rFonts w:eastAsiaTheme="minorEastAsia" w:cs="Times New Roman"/>
          <w:i/>
          <w:szCs w:val="20"/>
        </w:rPr>
        <w:tab/>
      </w:r>
      <w:r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37FD1D9D" w:rsidR="007B470B" w:rsidRDefault="007B470B"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r>
              <w:rPr>
                <w:rFonts w:ascii="Cambria Math" w:hAnsi="Cambria Math" w:cs="Times New Roman"/>
                <w:szCs w:val="20"/>
              </w:rPr>
              <m:t>-1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lastRenderedPageBreak/>
        <w:t>Example Management Procedure 2</w:t>
      </w:r>
    </w:p>
    <w:p w14:paraId="6AB2B8A1" w14:textId="77777777" w:rsidR="0070107B" w:rsidRPr="009A19A7" w:rsidRDefault="0070107B" w:rsidP="006779D1">
      <w:pPr>
        <w:jc w:val="both"/>
        <w:rPr>
          <w:rFonts w:cs="Times New Roman"/>
          <w:b/>
          <w:i/>
          <w:szCs w:val="20"/>
        </w:rPr>
      </w:pPr>
    </w:p>
    <w:p w14:paraId="169E8770" w14:textId="77777777"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but also the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9A19A7" w:rsidP="006779D1">
      <w:pPr>
        <w:jc w:val="both"/>
        <w:rPr>
          <w:rFonts w:cs="Times New Roman"/>
          <w:szCs w:val="20"/>
        </w:rPr>
      </w:pPr>
      <w:r w:rsidRPr="009A19A7">
        <w:rPr>
          <w:rFonts w:cs="Times New Roman"/>
          <w:position w:val="-14"/>
          <w:szCs w:val="20"/>
        </w:rPr>
        <w:object w:dxaOrig="464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36.4pt;height:18pt" o:ole="" fillcolor="window">
            <v:imagedata r:id="rId8" o:title=""/>
          </v:shape>
          <o:OLEObject Type="Embed" ProgID="Equation.3" ShapeID="_x0000_i1051" DrawAspect="Content" ObjectID="_1567544249"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pt" o:ole="" fillcolor="window">
            <v:imagedata r:id="rId10" o:title=""/>
          </v:shape>
          <o:OLEObject Type="Embed" ProgID="Equation.3" ShapeID="_x0000_i1026" DrawAspect="Content" ObjectID="_1567544250" r:id="rId11"/>
        </w:object>
      </w:r>
      <w:r>
        <w:rPr>
          <w:rFonts w:cs="Times New Roman"/>
          <w:szCs w:val="20"/>
        </w:rPr>
        <w:tab/>
        <w:t xml:space="preserve">is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5B6B3327"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9" type="#_x0000_t75" style="width:32.4pt;height:15pt" o:ole="" fillcolor="window">
            <v:imagedata r:id="rId12" o:title=""/>
          </v:shape>
          <o:OLEObject Type="Embed" ProgID="Equation.3" ShapeID="_x0000_i1029" DrawAspect="Content" ObjectID="_1567544251" r:id="rId13"/>
        </w:object>
      </w:r>
      <w:r>
        <w:rPr>
          <w:rFonts w:cs="Times New Roman"/>
          <w:szCs w:val="20"/>
        </w:rPr>
        <w:t>,</w:t>
      </w:r>
      <w:r w:rsidRPr="001739DA">
        <w:rPr>
          <w:rFonts w:cs="Times New Roman"/>
          <w:position w:val="-12"/>
          <w:szCs w:val="20"/>
        </w:rPr>
        <w:object w:dxaOrig="660" w:dyaOrig="320" w14:anchorId="0F79FF07">
          <v:shape id="_x0000_i1030" type="#_x0000_t75" style="width:33.6pt;height:15pt" o:ole="" fillcolor="window">
            <v:imagedata r:id="rId14" o:title=""/>
          </v:shape>
          <o:OLEObject Type="Embed" ProgID="Equation.3" ShapeID="_x0000_i1030" DrawAspect="Content" ObjectID="_1567544252" r:id="rId15"/>
        </w:object>
      </w:r>
      <w:r>
        <w:rPr>
          <w:rFonts w:cs="Times New Roman"/>
          <w:szCs w:val="20"/>
        </w:rPr>
        <w:t xml:space="preserve"> control parameters </w:t>
      </w:r>
    </w:p>
    <w:p w14:paraId="2A63ECB6" w14:textId="77777777" w:rsidR="009A19A7" w:rsidRDefault="009A19A7" w:rsidP="006779D1">
      <w:pPr>
        <w:jc w:val="both"/>
        <w:rPr>
          <w:rFonts w:cs="Times New Roman"/>
          <w:szCs w:val="20"/>
        </w:rPr>
      </w:pPr>
    </w:p>
    <w:p w14:paraId="784B35B0" w14:textId="681A7755" w:rsidR="006779D1" w:rsidRDefault="009A19A7" w:rsidP="006779D1">
      <w:pPr>
        <w:jc w:val="both"/>
        <w:rPr>
          <w:rFonts w:cs="Times New Roman"/>
          <w:szCs w:val="20"/>
        </w:rPr>
      </w:pPr>
      <w:proofErr w:type="gramStart"/>
      <w:r>
        <w:rPr>
          <w:rFonts w:cs="Times New Roman"/>
          <w:szCs w:val="20"/>
        </w:rPr>
        <w:t>Similarly</w:t>
      </w:r>
      <w:proofErr w:type="gramEnd"/>
      <w:r>
        <w:rPr>
          <w:rFonts w:cs="Times New Roman"/>
          <w:szCs w:val="20"/>
        </w:rPr>
        <w:t xml:space="preserve">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(both up or down).</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77777777" w:rsidR="00217076" w:rsidRDefault="00217076" w:rsidP="00217076">
      <w:pPr>
        <w:ind w:hanging="11"/>
        <w:jc w:val="both"/>
        <w:rPr>
          <w:rFonts w:cs="Times New Roman"/>
          <w:szCs w:val="20"/>
        </w:rPr>
      </w:pPr>
      <w:r>
        <w:rPr>
          <w:rFonts w:cs="Times New Roman"/>
          <w:szCs w:val="20"/>
        </w:rPr>
        <w:t xml:space="preserve">For these examples, the Japanese Longline index for the North East Atlantic (JPLL_NEAtl2) was used for setting TACs for the eastern area and the Gulf of Mexico Larval Survey (GOM_LAR_SUV) was used for setting TACs in the West.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 xml:space="preserve">Values were chosen for the target index levels and up/down control parameters </w:t>
      </w:r>
      <w:r>
        <w:rPr>
          <w:rFonts w:cs="Times New Roman"/>
          <w:szCs w:val="20"/>
        </w:rPr>
        <w:t xml:space="preserve">to attempt to achieve an appropriate trade-off amongst performance statistics for conflicting objectives (such as high catches and </w:t>
      </w:r>
      <w:proofErr w:type="gramStart"/>
      <w:r>
        <w:rPr>
          <w:rFonts w:cs="Times New Roman"/>
          <w:szCs w:val="20"/>
        </w:rPr>
        <w:t>low risk</w:t>
      </w:r>
      <w:proofErr w:type="gramEnd"/>
      <w:r>
        <w:rPr>
          <w:rFonts w:cs="Times New Roman"/>
          <w:szCs w:val="20"/>
        </w:rPr>
        <w:t xml:space="preserve"> of </w:t>
      </w:r>
      <w:r>
        <w:rPr>
          <w:rFonts w:cs="Times New Roman"/>
          <w:szCs w:val="20"/>
        </w:rPr>
        <w:t>unintended resource depletion).</w:t>
      </w:r>
    </w:p>
    <w:p w14:paraId="33A7EA46" w14:textId="77777777" w:rsidR="00217076" w:rsidRPr="009F5F6A" w:rsidRDefault="00217076" w:rsidP="006779D1">
      <w:pPr>
        <w:jc w:val="both"/>
        <w:rPr>
          <w:rFonts w:cs="Times New Roman"/>
          <w:b/>
          <w:i/>
          <w:szCs w:val="20"/>
        </w:rPr>
      </w:pPr>
    </w:p>
    <w:p w14:paraId="73BB418D" w14:textId="71CEA15A" w:rsidR="009F5F6A" w:rsidRDefault="009F5F6A" w:rsidP="006779D1">
      <w:pPr>
        <w:jc w:val="both"/>
        <w:rPr>
          <w:rFonts w:cs="Times New Roman"/>
          <w:szCs w:val="20"/>
        </w:rPr>
      </w:pPr>
    </w:p>
    <w:tbl>
      <w:tblPr>
        <w:tblW w:w="7134" w:type="dxa"/>
        <w:tblInd w:w="96" w:type="dxa"/>
        <w:tblLook w:val="04A0" w:firstRow="1" w:lastRow="0" w:firstColumn="1" w:lastColumn="0" w:noHBand="0" w:noVBand="1"/>
      </w:tblPr>
      <w:tblGrid>
        <w:gridCol w:w="5149"/>
        <w:gridCol w:w="1985"/>
      </w:tblGrid>
      <w:tr w:rsidR="009F5F6A" w:rsidRPr="00E62CBF" w14:paraId="0AF751A7" w14:textId="77777777" w:rsidTr="002E1A04">
        <w:trPr>
          <w:trHeight w:val="336"/>
        </w:trPr>
        <w:tc>
          <w:tcPr>
            <w:tcW w:w="5149" w:type="dxa"/>
            <w:tcBorders>
              <w:top w:val="single" w:sz="4" w:space="0" w:color="auto"/>
              <w:left w:val="nil"/>
              <w:bottom w:val="single" w:sz="4" w:space="0" w:color="auto"/>
              <w:right w:val="nil"/>
            </w:tcBorders>
            <w:shd w:val="clear" w:color="auto" w:fill="auto"/>
            <w:vAlign w:val="center"/>
            <w:hideMark/>
          </w:tcPr>
          <w:p w14:paraId="24F0E559" w14:textId="77777777" w:rsidR="009F5F6A" w:rsidRPr="00E62CBF" w:rsidRDefault="009F5F6A" w:rsidP="002E1A04">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489B5ACD" w14:textId="7AFA1F33"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Value</w:t>
            </w:r>
          </w:p>
        </w:tc>
      </w:tr>
      <w:tr w:rsidR="009F5F6A" w:rsidRPr="00E62CBF" w14:paraId="135FD542" w14:textId="77777777" w:rsidTr="002E1A04">
        <w:trPr>
          <w:trHeight w:val="324"/>
        </w:trPr>
        <w:tc>
          <w:tcPr>
            <w:tcW w:w="5149" w:type="dxa"/>
            <w:tcBorders>
              <w:top w:val="nil"/>
              <w:left w:val="nil"/>
              <w:bottom w:val="nil"/>
              <w:right w:val="nil"/>
            </w:tcBorders>
            <w:shd w:val="clear" w:color="auto" w:fill="auto"/>
            <w:noWrap/>
            <w:vAlign w:val="center"/>
            <w:hideMark/>
          </w:tcPr>
          <w:p w14:paraId="4D042BB7" w14:textId="144B7043" w:rsidR="009F5F6A" w:rsidRPr="00E62CBF" w:rsidRDefault="002E1A04"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340DE03A" w14:textId="56912D5B"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0.0</w:t>
            </w:r>
            <w:r w:rsidR="002E1A04">
              <w:rPr>
                <w:rFonts w:eastAsia="Times New Roman" w:cs="Times New Roman"/>
                <w:color w:val="000000"/>
                <w:lang w:val="en-US"/>
              </w:rPr>
              <w:t>5</w:t>
            </w:r>
          </w:p>
        </w:tc>
      </w:tr>
      <w:tr w:rsidR="009F5F6A" w:rsidRPr="00E62CBF" w14:paraId="77774F8C" w14:textId="77777777" w:rsidTr="002E1A04">
        <w:trPr>
          <w:trHeight w:val="324"/>
        </w:trPr>
        <w:tc>
          <w:tcPr>
            <w:tcW w:w="5149" w:type="dxa"/>
            <w:tcBorders>
              <w:top w:val="nil"/>
              <w:left w:val="nil"/>
              <w:bottom w:val="nil"/>
              <w:right w:val="nil"/>
            </w:tcBorders>
            <w:shd w:val="clear" w:color="auto" w:fill="auto"/>
            <w:noWrap/>
            <w:vAlign w:val="center"/>
            <w:hideMark/>
          </w:tcPr>
          <w:p w14:paraId="5E8503B1" w14:textId="69FE39E9"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FEB786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43B41C1A" w14:textId="77777777" w:rsidTr="002E1A04">
        <w:trPr>
          <w:trHeight w:val="324"/>
        </w:trPr>
        <w:tc>
          <w:tcPr>
            <w:tcW w:w="5149" w:type="dxa"/>
            <w:tcBorders>
              <w:top w:val="nil"/>
              <w:left w:val="nil"/>
              <w:bottom w:val="nil"/>
              <w:right w:val="nil"/>
            </w:tcBorders>
            <w:shd w:val="clear" w:color="auto" w:fill="auto"/>
            <w:noWrap/>
            <w:vAlign w:val="center"/>
            <w:hideMark/>
          </w:tcPr>
          <w:p w14:paraId="3733B448"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559802E6" w14:textId="78CD4AB8"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0.05</w:t>
            </w:r>
          </w:p>
        </w:tc>
      </w:tr>
      <w:tr w:rsidR="009F5F6A" w:rsidRPr="00E62CBF" w14:paraId="515139CA" w14:textId="77777777" w:rsidTr="002E1A04">
        <w:trPr>
          <w:trHeight w:val="324"/>
        </w:trPr>
        <w:tc>
          <w:tcPr>
            <w:tcW w:w="5149" w:type="dxa"/>
            <w:tcBorders>
              <w:top w:val="nil"/>
              <w:left w:val="nil"/>
              <w:bottom w:val="nil"/>
              <w:right w:val="nil"/>
            </w:tcBorders>
            <w:shd w:val="clear" w:color="auto" w:fill="auto"/>
            <w:noWrap/>
            <w:vAlign w:val="center"/>
            <w:hideMark/>
          </w:tcPr>
          <w:p w14:paraId="6FA6F685"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734C4DC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1E7D0172" w14:textId="77777777" w:rsidTr="002E1A04">
        <w:trPr>
          <w:trHeight w:val="324"/>
        </w:trPr>
        <w:tc>
          <w:tcPr>
            <w:tcW w:w="5149" w:type="dxa"/>
            <w:tcBorders>
              <w:top w:val="nil"/>
              <w:left w:val="nil"/>
              <w:bottom w:val="nil"/>
              <w:right w:val="nil"/>
            </w:tcBorders>
            <w:shd w:val="clear" w:color="auto" w:fill="auto"/>
            <w:noWrap/>
            <w:vAlign w:val="center"/>
            <w:hideMark/>
          </w:tcPr>
          <w:p w14:paraId="3422DA84" w14:textId="2DE6A3B1"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w:t>
            </w:r>
            <w:r w:rsidRPr="00E62CBF">
              <w:rPr>
                <w:rFonts w:eastAsia="Times New Roman" w:cs="Times New Roman"/>
                <w:color w:val="000000"/>
                <w:lang w:val="en-US"/>
              </w:rPr>
              <w:t>JPLL_NEA</w:t>
            </w:r>
            <w:r w:rsidR="002E1A04">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3825D584" w14:textId="64894802" w:rsidR="009F5F6A" w:rsidRPr="00E62CBF" w:rsidRDefault="00217076" w:rsidP="00C303B4">
            <w:pPr>
              <w:jc w:val="center"/>
              <w:rPr>
                <w:rFonts w:eastAsia="Times New Roman" w:cs="Times New Roman"/>
                <w:color w:val="000000"/>
                <w:lang w:val="en-US"/>
              </w:rPr>
            </w:pPr>
            <w:r>
              <w:rPr>
                <w:rFonts w:eastAsia="Times New Roman" w:cs="Times New Roman"/>
                <w:color w:val="000000"/>
                <w:lang w:val="en-US"/>
              </w:rPr>
              <w:t>4.8</w:t>
            </w:r>
          </w:p>
        </w:tc>
      </w:tr>
      <w:tr w:rsidR="009F5F6A" w:rsidRPr="00E62CBF" w14:paraId="2EC03DEB" w14:textId="77777777" w:rsidTr="002E1A04">
        <w:trPr>
          <w:trHeight w:val="324"/>
        </w:trPr>
        <w:tc>
          <w:tcPr>
            <w:tcW w:w="5149" w:type="dxa"/>
            <w:tcBorders>
              <w:top w:val="nil"/>
              <w:left w:val="nil"/>
              <w:bottom w:val="single" w:sz="4" w:space="0" w:color="auto"/>
              <w:right w:val="nil"/>
            </w:tcBorders>
            <w:shd w:val="clear" w:color="auto" w:fill="auto"/>
            <w:noWrap/>
            <w:vAlign w:val="center"/>
            <w:hideMark/>
          </w:tcPr>
          <w:p w14:paraId="3CAD39BF" w14:textId="4B034C56"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5C8D2B3A" w14:textId="6AAEE7FB"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0.66</w:t>
            </w:r>
          </w:p>
        </w:tc>
      </w:tr>
    </w:tbl>
    <w:p w14:paraId="1F10DF86" w14:textId="655BEBD2" w:rsidR="009F5F6A" w:rsidRDefault="009F5F6A" w:rsidP="006779D1">
      <w:pPr>
        <w:jc w:val="both"/>
        <w:rPr>
          <w:rFonts w:cs="Times New Roman"/>
          <w:szCs w:val="20"/>
        </w:rPr>
      </w:pPr>
    </w:p>
    <w:p w14:paraId="1272D6D2" w14:textId="77777777" w:rsidR="009F5F6A" w:rsidRDefault="009F5F6A" w:rsidP="006779D1">
      <w:pPr>
        <w:jc w:val="both"/>
        <w:rPr>
          <w:rFonts w:cs="Times New Roman"/>
          <w:szCs w:val="20"/>
        </w:rPr>
      </w:pPr>
    </w:p>
    <w:p w14:paraId="424189A5" w14:textId="77777777" w:rsidR="006779D1" w:rsidRPr="004D7EC4" w:rsidRDefault="006779D1"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398BAD3A" w:rsidR="00945D1D" w:rsidRDefault="00945D1D" w:rsidP="00BE1E57">
      <w:pPr>
        <w:jc w:val="both"/>
      </w:pPr>
    </w:p>
    <w:p w14:paraId="3E816A34" w14:textId="128D8F38" w:rsidR="00126E53" w:rsidRDefault="00126E53" w:rsidP="00BE1E57">
      <w:pPr>
        <w:jc w:val="both"/>
      </w:pPr>
      <w:r w:rsidRPr="00126E53">
        <w:lastRenderedPageBreak/>
        <w:drawing>
          <wp:inline distT="0" distB="0" distL="0" distR="0" wp14:anchorId="04A26ED8" wp14:editId="48D445FB">
            <wp:extent cx="5732145" cy="50139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5013960"/>
                    </a:xfrm>
                    <a:prstGeom prst="rect">
                      <a:avLst/>
                    </a:prstGeom>
                  </pic:spPr>
                </pic:pic>
              </a:graphicData>
            </a:graphic>
          </wp:inline>
        </w:drawing>
      </w:r>
    </w:p>
    <w:p w14:paraId="5BBC136F" w14:textId="1447F955" w:rsidR="00126E53" w:rsidRDefault="00126E53" w:rsidP="00BE1E57">
      <w:pPr>
        <w:jc w:val="both"/>
      </w:pPr>
      <w:r>
        <w:t>Figure 1. Catch and SSB trajectories for 6 MP pairs (98 simulations, OM #1). Each pair of MPs operates on the existing western and eastern areas. The result plotted here are for the West and East stocks. Each row is an MP pair. 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t>
      </w:r>
      <w:proofErr w:type="spellStart"/>
      <w:r w:rsidR="00CE6DC4">
        <w:t>CurC</w:t>
      </w:r>
      <w:proofErr w:type="spellEnd"/>
      <w:r w:rsidR="00CE6DC4">
        <w:t xml:space="preserve"> represents </w:t>
      </w:r>
      <w:r w:rsidR="00F31BD6">
        <w:t>current catch MPs</w:t>
      </w:r>
      <w:r w:rsidR="00CE6DC4">
        <w:t xml:space="preserve">. CurC50, CurC100 and </w:t>
      </w:r>
      <w:r w:rsidR="00F31BD6">
        <w:t xml:space="preserve">CurC150 are 50%, 100% and 150% of current catches. </w:t>
      </w:r>
    </w:p>
    <w:p w14:paraId="3720C2A2" w14:textId="7ED7882E" w:rsidR="00126E53" w:rsidRDefault="00126E53" w:rsidP="00BE1E57">
      <w:pPr>
        <w:jc w:val="both"/>
      </w:pPr>
    </w:p>
    <w:p w14:paraId="2D9049EB" w14:textId="663AD64C" w:rsidR="00126E53" w:rsidRDefault="00126E53" w:rsidP="00BE1E57">
      <w:pPr>
        <w:jc w:val="both"/>
      </w:pPr>
    </w:p>
    <w:p w14:paraId="5E8206D8" w14:textId="3D4D6DF3" w:rsidR="00126E53" w:rsidRDefault="00126E53" w:rsidP="00BE1E57">
      <w:pPr>
        <w:jc w:val="both"/>
      </w:pPr>
    </w:p>
    <w:p w14:paraId="5E7FE92E" w14:textId="6C2164BF" w:rsidR="00126E53" w:rsidRDefault="00126E53" w:rsidP="00BE1E57">
      <w:pPr>
        <w:jc w:val="both"/>
      </w:pPr>
    </w:p>
    <w:p w14:paraId="5822E7D3" w14:textId="4E246DFB" w:rsidR="00126E53" w:rsidRDefault="00126E53" w:rsidP="00BE1E57">
      <w:pPr>
        <w:jc w:val="both"/>
      </w:pPr>
    </w:p>
    <w:p w14:paraId="669C1856" w14:textId="0D5E9980" w:rsidR="00126E53" w:rsidRDefault="00126E53" w:rsidP="00BE1E57">
      <w:pPr>
        <w:jc w:val="both"/>
      </w:pPr>
      <w:bookmarkStart w:id="0" w:name="_GoBack"/>
      <w:bookmarkEnd w:id="0"/>
    </w:p>
    <w:p w14:paraId="01337974" w14:textId="77777777" w:rsidR="00126E53" w:rsidRDefault="00126E53"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lastRenderedPageBreak/>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Pr="006779D1" w:rsidRDefault="004E1E8D" w:rsidP="004E1E8D">
      <w:pPr>
        <w:spacing w:afterLines="40" w:after="96"/>
        <w:ind w:left="425" w:right="-11" w:hanging="425"/>
        <w:jc w:val="both"/>
        <w:rPr>
          <w:highlight w:val="yellow"/>
          <w:lang w:val="en-US"/>
        </w:rPr>
      </w:pPr>
      <w:r w:rsidRPr="006779D1">
        <w:rPr>
          <w:highlight w:val="yellow"/>
          <w:lang w:val="en-US"/>
        </w:rPr>
        <w:t xml:space="preserve">CMG. 2017. Specifications for MSE trials for bluefin tuna in the North Atlantic. GBYP Core Modelling Group. </w:t>
      </w:r>
      <w:r w:rsidR="001F274F" w:rsidRPr="006779D1">
        <w:rPr>
          <w:highlight w:val="yellow"/>
        </w:rPr>
        <w:t xml:space="preserve">ICCAT Atlantic Wide Research Programme for Bluefin Tuna. </w:t>
      </w:r>
      <w:r w:rsidRPr="006779D1">
        <w:rPr>
          <w:highlight w:val="yellow"/>
          <w:lang w:val="en-US"/>
        </w:rPr>
        <w:t>Available at: [accessed September 2017]</w:t>
      </w:r>
    </w:p>
    <w:p w14:paraId="1BC1584C" w14:textId="0D97641E" w:rsidR="002848B6" w:rsidRPr="006779D1" w:rsidRDefault="002848B6" w:rsidP="004E1E8D">
      <w:pPr>
        <w:spacing w:afterLines="40" w:after="96"/>
        <w:ind w:left="425" w:right="-11" w:hanging="425"/>
        <w:jc w:val="both"/>
        <w:rPr>
          <w:highlight w:val="yellow"/>
          <w:lang w:val="en-US"/>
        </w:rPr>
      </w:pPr>
      <w:r w:rsidRPr="006779D1">
        <w:rPr>
          <w:highlight w:val="yellow"/>
          <w:lang w:val="en-US"/>
        </w:rPr>
        <w:t xml:space="preserve">GBYP. 2017a. ICCAT Atlantic wide research </w:t>
      </w:r>
      <w:proofErr w:type="spellStart"/>
      <w:r w:rsidRPr="006779D1">
        <w:rPr>
          <w:highlight w:val="yellow"/>
          <w:lang w:val="en-US"/>
        </w:rPr>
        <w:t>programme</w:t>
      </w:r>
      <w:proofErr w:type="spellEnd"/>
      <w:r w:rsidRPr="006779D1">
        <w:rPr>
          <w:highlight w:val="yellow"/>
          <w:lang w:val="en-US"/>
        </w:rPr>
        <w:t xml:space="preserve"> for Bluefin Tuna. Available online at: http://www.iccat.int/GBYP/en/index.htm [accessed </w:t>
      </w:r>
      <w:r w:rsidRPr="006779D1">
        <w:rPr>
          <w:highlight w:val="yellow"/>
        </w:rPr>
        <w:t>September 2017</w:t>
      </w:r>
      <w:r w:rsidRPr="006779D1">
        <w:rPr>
          <w:highlight w:val="yellow"/>
          <w:lang w:val="en-US"/>
        </w:rPr>
        <w:t>]</w:t>
      </w:r>
    </w:p>
    <w:p w14:paraId="1F835BCC" w14:textId="77AF5892" w:rsidR="004E1E8D" w:rsidRPr="006779D1" w:rsidRDefault="001F274F" w:rsidP="004E1E8D">
      <w:pPr>
        <w:spacing w:afterLines="40" w:after="96"/>
        <w:ind w:left="425" w:right="-11" w:hanging="425"/>
        <w:jc w:val="both"/>
        <w:rPr>
          <w:highlight w:val="yellow"/>
          <w:lang w:val="en-US"/>
        </w:rPr>
      </w:pPr>
      <w:r w:rsidRPr="006779D1">
        <w:rPr>
          <w:highlight w:val="yellow"/>
          <w:lang w:val="en-US"/>
        </w:rPr>
        <w:t>GBYP. 2017</w:t>
      </w:r>
      <w:r w:rsidR="002848B6" w:rsidRPr="006779D1">
        <w:rPr>
          <w:highlight w:val="yellow"/>
          <w:lang w:val="en-US"/>
        </w:rPr>
        <w:t>b</w:t>
      </w:r>
      <w:r w:rsidRPr="006779D1">
        <w:rPr>
          <w:highlight w:val="yellow"/>
          <w:lang w:val="en-US"/>
        </w:rPr>
        <w:t xml:space="preserve">. Data to inform operating models for North Atlantic bluefin tuna. </w:t>
      </w:r>
      <w:r w:rsidRPr="006779D1">
        <w:rPr>
          <w:highlight w:val="yellow"/>
        </w:rPr>
        <w:t>ICCAT Atlantic Wide Research Programme for Bluefin Tuna. Available at: [accessed September 2017]</w:t>
      </w:r>
    </w:p>
    <w:p w14:paraId="4D068BFA" w14:textId="447ADA6B" w:rsidR="0000387F" w:rsidRPr="006779D1" w:rsidRDefault="004E1E8D" w:rsidP="004E1E8D">
      <w:pPr>
        <w:spacing w:afterLines="40" w:after="96"/>
        <w:ind w:left="425" w:right="-11" w:hanging="425"/>
        <w:jc w:val="both"/>
        <w:rPr>
          <w:highlight w:val="yellow"/>
          <w:lang w:val="en-US"/>
        </w:rPr>
      </w:pPr>
      <w:r w:rsidRPr="006779D1">
        <w:rPr>
          <w:highlight w:val="yellow"/>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D4A9BA4" w:rsidR="001F274F" w:rsidRDefault="001F274F" w:rsidP="004E1E8D">
      <w:pPr>
        <w:spacing w:afterLines="40" w:after="96"/>
        <w:ind w:left="425" w:right="-11" w:hanging="425"/>
        <w:jc w:val="both"/>
        <w:rPr>
          <w:lang w:val="en-US"/>
        </w:rPr>
      </w:pPr>
      <w:r w:rsidRPr="006779D1">
        <w:rPr>
          <w:highlight w:val="yellow"/>
          <w:lang w:val="en-US"/>
        </w:rPr>
        <w:t xml:space="preserve">Punt, A.E., Butterworth, D.S., de Moor, C.L., De Oliveira, J.A.A., Haddon, M., 2016. Management strategy evaluation: best practices. Fish </w:t>
      </w:r>
      <w:proofErr w:type="spellStart"/>
      <w:r w:rsidRPr="006779D1">
        <w:rPr>
          <w:highlight w:val="yellow"/>
          <w:lang w:val="en-US"/>
        </w:rPr>
        <w:t>Fish</w:t>
      </w:r>
      <w:proofErr w:type="spellEnd"/>
      <w:r w:rsidRPr="006779D1">
        <w:rPr>
          <w:highlight w:val="yellow"/>
          <w:lang w:val="en-US"/>
        </w:rPr>
        <w:t xml:space="preserve">. 17, 303–334, </w:t>
      </w:r>
      <w:hyperlink r:id="rId17" w:history="1">
        <w:r w:rsidR="006779D1" w:rsidRPr="006779D1">
          <w:rPr>
            <w:rStyle w:val="Hyperlink"/>
            <w:highlight w:val="yellow"/>
            <w:lang w:val="en-US"/>
          </w:rPr>
          <w:t>http://dx.doi.org/10.1111/faf.12104</w:t>
        </w:r>
      </w:hyperlink>
      <w:r w:rsidRPr="006779D1">
        <w:rPr>
          <w:highlight w:val="yellow"/>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66839857" w:rsidR="001256DA" w:rsidRDefault="00F23CB1" w:rsidP="00532620">
      <w:pPr>
        <w:rPr>
          <w:rFonts w:cs="Times New Roman"/>
          <w:szCs w:val="20"/>
        </w:rPr>
      </w:pPr>
      <w:r>
        <w:rPr>
          <w:noProof/>
          <w:lang w:eastAsia="en-CA"/>
        </w:rPr>
        <w:drawing>
          <wp:inline distT="0" distB="0" distL="0" distR="0" wp14:anchorId="61783A63" wp14:editId="350B1DBA">
            <wp:extent cx="2995924"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03"/>
                    <a:stretch/>
                  </pic:blipFill>
                  <pic:spPr bwMode="auto">
                    <a:xfrm>
                      <a:off x="0" y="0"/>
                      <a:ext cx="3009949" cy="2893483"/>
                    </a:xfrm>
                    <a:prstGeom prst="rect">
                      <a:avLst/>
                    </a:prstGeom>
                    <a:ln>
                      <a:noFill/>
                    </a:ln>
                    <a:extLst>
                      <a:ext uri="{53640926-AAD7-44D8-BBD7-CCE9431645EC}">
                        <a14:shadowObscured xmlns:a14="http://schemas.microsoft.com/office/drawing/2010/main"/>
                      </a:ext>
                    </a:extLst>
                  </pic:spPr>
                </pic:pic>
              </a:graphicData>
            </a:graphic>
          </wp:inline>
        </w:drawing>
      </w:r>
    </w:p>
    <w:p w14:paraId="2CA1E132" w14:textId="33024520" w:rsidR="00001FA7" w:rsidRDefault="00DA3073" w:rsidP="0058379D">
      <w:pPr>
        <w:keepNext/>
        <w:keepLines/>
        <w:rPr>
          <w:b/>
        </w:rPr>
        <w:sectPr w:rsidR="00001FA7" w:rsidSect="004756EC">
          <w:headerReference w:type="first" r:id="rId19"/>
          <w:pgSz w:w="11907" w:h="16840" w:code="9"/>
          <w:pgMar w:top="992" w:right="1440" w:bottom="1276" w:left="1440" w:header="709" w:footer="709" w:gutter="0"/>
          <w:cols w:space="708"/>
          <w:titlePg/>
          <w:docGrid w:linePitch="360"/>
        </w:sectPr>
      </w:pPr>
      <w:r w:rsidRPr="00DA3073">
        <w:rPr>
          <w:noProof/>
          <w:lang w:eastAsia="en-CA"/>
        </w:rPr>
        <w:t xml:space="preserve"> </w:t>
      </w:r>
      <w:r w:rsidR="00F23CB1">
        <w:rPr>
          <w:noProof/>
          <w:lang w:eastAsia="en-CA"/>
        </w:rPr>
        <w:drawing>
          <wp:inline distT="0" distB="0" distL="0" distR="0" wp14:anchorId="7922A7C6" wp14:editId="4B536D81">
            <wp:extent cx="2973788" cy="1625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5" t="1755" r="185" b="-1755"/>
                    <a:stretch/>
                  </pic:blipFill>
                  <pic:spPr>
                    <a:xfrm>
                      <a:off x="0" y="0"/>
                      <a:ext cx="3002022" cy="1640916"/>
                    </a:xfrm>
                    <a:prstGeom prst="rect">
                      <a:avLst/>
                    </a:prstGeom>
                  </pic:spPr>
                </pic:pic>
              </a:graphicData>
            </a:graphic>
          </wp:inline>
        </w:drawing>
      </w:r>
    </w:p>
    <w:p w14:paraId="1AE5776A" w14:textId="768ECAA9" w:rsidR="0058379D" w:rsidRDefault="0058379D" w:rsidP="001624AE">
      <w:pPr>
        <w:keepNext/>
        <w:keepLines/>
        <w:jc w:val="center"/>
      </w:pPr>
      <w:r>
        <w:rPr>
          <w:noProof/>
          <w:lang w:eastAsia="en-CA"/>
        </w:rPr>
        <w:lastRenderedPageBreak/>
        <w:drawing>
          <wp:inline distT="0" distB="0" distL="0" distR="0" wp14:anchorId="5F01A45D" wp14:editId="4734F0F1">
            <wp:extent cx="5732145" cy="579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5797550"/>
                    </a:xfrm>
                    <a:prstGeom prst="rect">
                      <a:avLst/>
                    </a:prstGeom>
                  </pic:spPr>
                </pic:pic>
              </a:graphicData>
            </a:graphic>
          </wp:inline>
        </w:drawing>
      </w: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8ED9DD2" w:rsidR="0058379D" w:rsidRDefault="0058379D" w:rsidP="001624AE">
      <w:pPr>
        <w:keepNext/>
        <w:keepLines/>
        <w:jc w:val="center"/>
      </w:pPr>
      <w:r>
        <w:rPr>
          <w:noProof/>
          <w:lang w:eastAsia="en-CA"/>
        </w:rPr>
        <w:lastRenderedPageBreak/>
        <w:drawing>
          <wp:inline distT="0" distB="0" distL="0" distR="0" wp14:anchorId="4ECC7C78" wp14:editId="400B5AD8">
            <wp:extent cx="5732145" cy="5797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5797550"/>
                    </a:xfrm>
                    <a:prstGeom prst="rect">
                      <a:avLst/>
                    </a:prstGeom>
                  </pic:spPr>
                </pic:pic>
              </a:graphicData>
            </a:graphic>
          </wp:inline>
        </w:drawing>
      </w:r>
    </w:p>
    <w:p w14:paraId="2A036632" w14:textId="0B3E56CB" w:rsidR="00590DA0" w:rsidRDefault="00590DA0" w:rsidP="00590DA0">
      <w:pPr>
        <w:keepNext/>
        <w:keepLines/>
      </w:pPr>
      <w:r w:rsidRPr="00590DA0">
        <w:rPr>
          <w:b/>
        </w:rPr>
        <w:t>Figure 1b</w:t>
      </w:r>
      <w:r>
        <w:t>. Residuals for operation model fits (columns) to various assessment indices (rows)</w:t>
      </w:r>
    </w:p>
    <w:p w14:paraId="3631A7E9" w14:textId="77777777" w:rsidR="00590DA0" w:rsidRDefault="00590DA0" w:rsidP="001624AE">
      <w:pPr>
        <w:keepNext/>
        <w:keepLines/>
        <w:jc w:val="center"/>
      </w:pPr>
    </w:p>
    <w:p w14:paraId="2E1F7813" w14:textId="4408046C" w:rsidR="00590DA0" w:rsidRDefault="0058379D" w:rsidP="00590DA0">
      <w:pPr>
        <w:keepNext/>
        <w:keepLines/>
      </w:pPr>
      <w:r>
        <w:rPr>
          <w:noProof/>
          <w:lang w:eastAsia="en-CA"/>
        </w:rPr>
        <w:lastRenderedPageBreak/>
        <w:drawing>
          <wp:inline distT="0" distB="0" distL="0" distR="0" wp14:anchorId="741947A4" wp14:editId="726571CC">
            <wp:extent cx="5732145" cy="5797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5797550"/>
                    </a:xfrm>
                    <a:prstGeom prst="rect">
                      <a:avLst/>
                    </a:prstGeom>
                  </pic:spPr>
                </pic:pic>
              </a:graphicData>
            </a:graphic>
          </wp:inline>
        </w:drawing>
      </w:r>
      <w:r w:rsidR="00590DA0" w:rsidRPr="00590DA0">
        <w:t xml:space="preserve"> </w:t>
      </w:r>
      <w:r w:rsidR="00590DA0" w:rsidRPr="00590DA0">
        <w:rPr>
          <w:b/>
        </w:rPr>
        <w:t>Figure 1c</w:t>
      </w:r>
      <w:r w:rsidR="00590DA0">
        <w:t>. Residuals for operation model fits (columns) to various assessment indices (rows)</w:t>
      </w:r>
    </w:p>
    <w:p w14:paraId="0EA8DBED" w14:textId="31D283DB" w:rsidR="0058379D" w:rsidRDefault="0058379D" w:rsidP="001624AE">
      <w:pPr>
        <w:keepNext/>
        <w:keepLines/>
        <w:jc w:val="center"/>
      </w:pPr>
    </w:p>
    <w:p w14:paraId="38CBA0E3" w14:textId="44F4A37D" w:rsidR="0058379D" w:rsidRDefault="0058379D" w:rsidP="001624AE">
      <w:pPr>
        <w:keepNext/>
        <w:keepLines/>
        <w:jc w:val="center"/>
      </w:pPr>
      <w:r>
        <w:rPr>
          <w:noProof/>
          <w:lang w:eastAsia="en-CA"/>
        </w:rPr>
        <w:lastRenderedPageBreak/>
        <w:drawing>
          <wp:inline distT="0" distB="0" distL="0" distR="0" wp14:anchorId="7830C3A1" wp14:editId="7E5E9067">
            <wp:extent cx="5732145" cy="5797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5797550"/>
                    </a:xfrm>
                    <a:prstGeom prst="rect">
                      <a:avLst/>
                    </a:prstGeom>
                  </pic:spPr>
                </pic:pic>
              </a:graphicData>
            </a:graphic>
          </wp:inline>
        </w:drawing>
      </w:r>
    </w:p>
    <w:p w14:paraId="15846FD4" w14:textId="0F4AB1DC" w:rsidR="00590DA0" w:rsidRDefault="00590DA0" w:rsidP="00590DA0">
      <w:pPr>
        <w:keepNext/>
        <w:keepLines/>
      </w:pPr>
      <w:r w:rsidRPr="00590DA0">
        <w:rPr>
          <w:b/>
        </w:rPr>
        <w:t>Figure 1d</w:t>
      </w:r>
      <w:r>
        <w:t>. Residuals for operation model fits (columns) to various assessment indices (rows)</w:t>
      </w:r>
    </w:p>
    <w:p w14:paraId="029E7F40" w14:textId="77777777" w:rsidR="00590DA0" w:rsidRDefault="00590DA0" w:rsidP="00590DA0">
      <w:pPr>
        <w:keepNext/>
        <w:keepLines/>
      </w:pPr>
    </w:p>
    <w:p w14:paraId="7E3683F1" w14:textId="08E25465" w:rsidR="001624AE" w:rsidRDefault="0058379D" w:rsidP="001624AE">
      <w:pPr>
        <w:keepNext/>
        <w:keepLines/>
        <w:jc w:val="center"/>
      </w:pPr>
      <w:r>
        <w:rPr>
          <w:noProof/>
          <w:lang w:eastAsia="en-CA"/>
        </w:rPr>
        <w:lastRenderedPageBreak/>
        <w:drawing>
          <wp:inline distT="0" distB="0" distL="0" distR="0" wp14:anchorId="6DCC4E53" wp14:editId="2DAE6C8C">
            <wp:extent cx="5732145" cy="5797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5797550"/>
                    </a:xfrm>
                    <a:prstGeom prst="rect">
                      <a:avLst/>
                    </a:prstGeom>
                  </pic:spPr>
                </pic:pic>
              </a:graphicData>
            </a:graphic>
          </wp:inline>
        </w:drawing>
      </w: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3429C2EA" w:rsidR="00B763D2" w:rsidRDefault="00920685" w:rsidP="00B763D2">
      <w:pPr>
        <w:tabs>
          <w:tab w:val="left" w:pos="284"/>
          <w:tab w:val="left" w:pos="567"/>
        </w:tabs>
        <w:rPr>
          <w:rFonts w:cs="Times New Roman"/>
          <w:b/>
          <w:szCs w:val="20"/>
        </w:rPr>
      </w:pPr>
      <w:r>
        <w:t xml:space="preserve"> </w:t>
      </w:r>
      <w:r w:rsidR="00B763D2">
        <w:rPr>
          <w:noProof/>
          <w:lang w:eastAsia="en-CA"/>
        </w:rPr>
        <w:drawing>
          <wp:inline distT="0" distB="0" distL="0" distR="0" wp14:anchorId="7F38D12C" wp14:editId="0CC34150">
            <wp:extent cx="5731207" cy="487889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6091" cy="4891569"/>
                    </a:xfrm>
                    <a:prstGeom prst="rect">
                      <a:avLst/>
                    </a:prstGeom>
                  </pic:spPr>
                </pic:pic>
              </a:graphicData>
            </a:graphic>
          </wp:inline>
        </w:drawing>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9EE64" w14:textId="77777777" w:rsidR="00091EA6" w:rsidRDefault="00091EA6" w:rsidP="003B5FF7">
      <w:r>
        <w:separator/>
      </w:r>
    </w:p>
  </w:endnote>
  <w:endnote w:type="continuationSeparator" w:id="0">
    <w:p w14:paraId="3B743EA6" w14:textId="77777777" w:rsidR="00091EA6" w:rsidRDefault="00091EA6"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DCD01" w14:textId="77777777" w:rsidR="00091EA6" w:rsidRDefault="00091EA6" w:rsidP="003B5FF7">
      <w:r>
        <w:separator/>
      </w:r>
    </w:p>
  </w:footnote>
  <w:footnote w:type="continuationSeparator" w:id="0">
    <w:p w14:paraId="5EB13149" w14:textId="77777777" w:rsidR="00091EA6" w:rsidRDefault="00091EA6"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7F235E0A" w:rsidR="00AE7248" w:rsidRPr="00066B92" w:rsidRDefault="000E47FD" w:rsidP="00AE7248">
    <w:pPr>
      <w:tabs>
        <w:tab w:val="right" w:pos="9072"/>
      </w:tabs>
    </w:pPr>
    <w:r>
      <w:t>SCRS/201</w:t>
    </w:r>
    <w:r w:rsidR="00EB7F5A">
      <w:t>7</w:t>
    </w:r>
    <w:r w:rsidR="00042CBB">
      <w:t>/</w:t>
    </w:r>
    <w:r w:rsidR="0058379D">
      <w:t>X</w:t>
    </w:r>
    <w:r w:rsidR="002B6D60">
      <w:t>3</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1EA6"/>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1A04"/>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E6DC4"/>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1BD6"/>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styleId="UnresolvedMention">
    <w:name w:val="Unresolved Mention"/>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dx.doi.org/10.1111/faf.12104"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03A68-6D11-424B-85C3-090AE259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8</cp:revision>
  <cp:lastPrinted>2016-11-29T18:11:00Z</cp:lastPrinted>
  <dcterms:created xsi:type="dcterms:W3CDTF">2017-09-18T21:51:00Z</dcterms:created>
  <dcterms:modified xsi:type="dcterms:W3CDTF">2017-09-22T07:09:00Z</dcterms:modified>
</cp:coreProperties>
</file>