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05DD727F" w:rsidR="00532620" w:rsidRDefault="001C528A" w:rsidP="00532620">
      <w:pPr>
        <w:jc w:val="center"/>
        <w:rPr>
          <w:rFonts w:cs="Times New Roman"/>
          <w:b/>
          <w:caps/>
          <w:szCs w:val="20"/>
        </w:rPr>
      </w:pPr>
      <w:r>
        <w:rPr>
          <w:rFonts w:cs="Times New Roman"/>
          <w:b/>
          <w:caps/>
          <w:szCs w:val="20"/>
        </w:rPr>
        <w:t>ABT-MSE an R framework for the testing of custom management procedures</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bookmarkStart w:id="0" w:name="_GoBack"/>
      <w:bookmarkEnd w:id="0"/>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4FAEF25B" w14:textId="0097B8AB" w:rsidR="00AF7149" w:rsidRDefault="00AF7149" w:rsidP="00AF7149">
      <w:r w:rsidRPr="004E17B7">
        <w:t xml:space="preserve">A Management Strategy Evaluation (MSE, </w:t>
      </w:r>
      <w:r>
        <w:t>Butterworth 1999, Cochrane 1998</w:t>
      </w:r>
      <w:r w:rsidRPr="004E17B7">
        <w:t>) approach has been proposed for A</w:t>
      </w:r>
      <w:r w:rsidR="002848B6">
        <w:t>tlantic bluefin tuna</w:t>
      </w:r>
      <w:r w:rsidRPr="004E17B7">
        <w:t xml:space="preserve"> as a suitable framework for providing robust management advice consistent with the precautionary approach (GBYP 201</w:t>
      </w:r>
      <w:r w:rsidR="002848B6">
        <w:t>7a</w:t>
      </w:r>
      <w:r w:rsidRPr="004E17B7">
        <w:t xml:space="preserve">).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 which are </w:t>
      </w:r>
      <w:r w:rsidRPr="003173A4">
        <w:t>fitted to data to ensure that model assumptions and estimated parameters are empirically credible (Punt et al. 2014, e.g. CCSBT 2011).</w:t>
      </w:r>
      <w:r>
        <w:t xml:space="preserve"> </w:t>
      </w:r>
    </w:p>
    <w:p w14:paraId="230A8E62" w14:textId="77777777" w:rsidR="00AF7149" w:rsidRDefault="00AF7149" w:rsidP="00AF7149"/>
    <w:p w14:paraId="3CB38D25" w14:textId="2BA07E78" w:rsidR="00AF7149" w:rsidRDefault="00AF7149" w:rsidP="00AF7149">
      <w:r>
        <w:t xml:space="preserve">A general approach for testing MPs using MSE established two sets of operating models. </w:t>
      </w:r>
      <w:r w:rsidRPr="00AF7149">
        <w:t xml:space="preserve">The reference trials </w:t>
      </w:r>
      <w:r>
        <w:t xml:space="preserve">(‘Base case’) </w:t>
      </w:r>
      <w:r w:rsidRPr="00AF7149">
        <w:t xml:space="preserve">are considered to reflect the most plausible </w:t>
      </w:r>
      <w:r>
        <w:t xml:space="preserve">hypotheses </w:t>
      </w:r>
      <w:r w:rsidRPr="00AF7149">
        <w:t xml:space="preserve">and </w:t>
      </w:r>
      <w:r>
        <w:t xml:space="preserve">are the </w:t>
      </w:r>
      <w:r w:rsidRPr="00AF7149">
        <w:t>primary basis for identifying</w:t>
      </w:r>
      <w:r w:rsidR="004E1E8D">
        <w:t xml:space="preserve"> the</w:t>
      </w:r>
      <w:r w:rsidRPr="00AF7149">
        <w:t xml:space="preserve"> </w:t>
      </w:r>
      <w:r w:rsidR="004E1E8D">
        <w:t>best performing</w:t>
      </w:r>
      <w:r w:rsidRPr="00AF7149">
        <w:t xml:space="preserve"> management </w:t>
      </w:r>
      <w:r w:rsidR="004E1E8D">
        <w:t>procedure. R</w:t>
      </w:r>
      <w:r w:rsidRPr="00AF7149">
        <w:t xml:space="preserve">obustness trials are used to determine whether the management </w:t>
      </w:r>
      <w:r w:rsidR="004E1E8D">
        <w:t>procedure</w:t>
      </w:r>
      <w:r w:rsidRPr="00AF7149">
        <w:t xml:space="preserve"> behaves as intended in scenarios that are </w:t>
      </w:r>
      <w:r w:rsidR="004E1E8D">
        <w:t>less likely</w:t>
      </w:r>
      <w:r w:rsidRPr="00AF7149">
        <w:t>.</w:t>
      </w:r>
    </w:p>
    <w:p w14:paraId="47207E10" w14:textId="77777777" w:rsidR="004E1E8D" w:rsidRDefault="004E1E8D" w:rsidP="00AF7149"/>
    <w:p w14:paraId="4490F5B1" w14:textId="59340968" w:rsidR="004E1E8D" w:rsidRDefault="004E1E8D" w:rsidP="00AF7149">
      <w:r>
        <w:t xml:space="preserve">In this paper the design of the reference set of operating models is described including the fit of these models to data.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7626EEAD" w14:textId="77777777" w:rsidR="0081697E" w:rsidRDefault="0081697E" w:rsidP="0058379D">
      <w:pPr>
        <w:jc w:val="both"/>
      </w:pPr>
      <w:r>
        <w:t xml:space="preserve">Seasonal, spatial, multi-stock, age structured operating models were </w:t>
      </w:r>
      <w:r w:rsidR="004E1E8D">
        <w:t>fitted to a wide variety of fishery dependent and independent data</w:t>
      </w:r>
      <w:r>
        <w:t xml:space="preserve"> (see Carruthers et al. 2015a and CMG 2017). Such data included</w:t>
      </w:r>
      <w:r w:rsidR="004E1E8D">
        <w:t xml:space="preserve"> electronic tags, Task II catch rate and genetics data informing stock of origin (for a summary of these data see Carruthers et al. 2015b</w:t>
      </w:r>
      <w:r w:rsidR="002848B6">
        <w:t xml:space="preserve"> and GBYP 2017b</w:t>
      </w:r>
      <w:r w:rsidR="004E1E8D">
        <w:t>).</w:t>
      </w:r>
      <w:r>
        <w:t xml:space="preserve"> </w:t>
      </w:r>
    </w:p>
    <w:p w14:paraId="5279E91F" w14:textId="77777777" w:rsidR="0081697E" w:rsidRDefault="0081697E" w:rsidP="0058379D">
      <w:pPr>
        <w:jc w:val="both"/>
      </w:pPr>
    </w:p>
    <w:p w14:paraId="7455B1CD" w14:textId="6061E2A4" w:rsidR="0058379D" w:rsidRDefault="0081697E" w:rsidP="0058379D">
      <w:pPr>
        <w:jc w:val="both"/>
      </w:pPr>
      <w:r>
        <w:t>A reference set of operating models was identified that spanned three main axes of uncertainty for Atlantic bluefin tuna: (1) future recruitment, (2) current spatial distributi</w:t>
      </w:r>
      <w:r w:rsidR="00590DA0">
        <w:t>on of abundance</w:t>
      </w:r>
      <w:r>
        <w:t>, (3) age-at-maturity (spawning fraction) / natural mortality rate (see Table 1 for the reference operating model design). Although this leads to 36 reference operating models in total, future recruitment scenarios are not applicable to model fitting.</w:t>
      </w:r>
      <w:r w:rsidR="002654D0">
        <w:t xml:space="preserve"> Consequently </w:t>
      </w:r>
      <w:r>
        <w:t>12 unique model fits are presented here</w:t>
      </w:r>
      <w:r w:rsidR="00C15D60">
        <w:t xml:space="preserve"> that cover factors 2 and 3 relating to </w:t>
      </w:r>
      <w:r w:rsidR="00590DA0">
        <w:t>abundance</w:t>
      </w:r>
      <w:r w:rsidR="00C15D60">
        <w:t xml:space="preserve">, maturity and natural mortality rate. </w:t>
      </w:r>
      <w:r>
        <w:t xml:space="preserve">  </w:t>
      </w:r>
    </w:p>
    <w:p w14:paraId="5629E194" w14:textId="77777777" w:rsidR="0081697E" w:rsidRDefault="0081697E" w:rsidP="0058379D">
      <w:pPr>
        <w:jc w:val="both"/>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38184187" w14:textId="77777777" w:rsidR="00945D1D" w:rsidRDefault="00945D1D"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830B74E" w14:textId="77777777" w:rsidR="00EB7F5A" w:rsidRDefault="00EB7F5A" w:rsidP="00D35A60"/>
    <w:p w14:paraId="3D1915A7" w14:textId="77777777" w:rsidR="00247470" w:rsidRDefault="00247470"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w:t>
      </w:r>
      <w:proofErr w:type="spellStart"/>
      <w:r>
        <w:t>Natale</w:t>
      </w:r>
      <w:proofErr w:type="spellEnd"/>
      <w:r>
        <w:t xml:space="preserv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Default="004E1E8D" w:rsidP="004E1E8D">
      <w:pPr>
        <w:spacing w:afterLines="40" w:after="96"/>
        <w:ind w:left="425" w:right="-11" w:hanging="425"/>
        <w:jc w:val="both"/>
        <w:rPr>
          <w:lang w:val="en-US"/>
        </w:rPr>
      </w:pPr>
      <w:r>
        <w:rPr>
          <w:lang w:val="en-US"/>
        </w:rPr>
        <w:t xml:space="preserve">CMG. 2017. Specifications for MSE trials for bluefin tuna in the North Atlantic. GBYP Core Modelling Group. </w:t>
      </w:r>
      <w:r w:rsidR="001F274F" w:rsidRPr="000E1796">
        <w:t>ICCAT Atlantic Wide Research Programme for Bluefin Tuna</w:t>
      </w:r>
      <w:r w:rsidR="001F274F">
        <w:t xml:space="preserve">. </w:t>
      </w:r>
      <w:r>
        <w:rPr>
          <w:lang w:val="en-US"/>
        </w:rPr>
        <w:t>Available at</w:t>
      </w:r>
      <w:r w:rsidRPr="001F274F">
        <w:rPr>
          <w:highlight w:val="yellow"/>
          <w:lang w:val="en-US"/>
        </w:rPr>
        <w:t>: [</w:t>
      </w:r>
      <w:r>
        <w:rPr>
          <w:lang w:val="en-US"/>
        </w:rPr>
        <w:t>accessed September 2017]</w:t>
      </w:r>
    </w:p>
    <w:p w14:paraId="1BC1584C" w14:textId="0D97641E" w:rsidR="002848B6" w:rsidRDefault="002848B6" w:rsidP="004E1E8D">
      <w:pPr>
        <w:spacing w:afterLines="40" w:after="96"/>
        <w:ind w:left="425" w:right="-11" w:hanging="425"/>
        <w:jc w:val="both"/>
        <w:rPr>
          <w:lang w:val="en-US"/>
        </w:rPr>
      </w:pPr>
      <w:r>
        <w:rPr>
          <w:lang w:val="en-US"/>
        </w:rPr>
        <w:lastRenderedPageBreak/>
        <w:t xml:space="preserve">GBYP. </w:t>
      </w:r>
      <w:r w:rsidRPr="002848B6">
        <w:rPr>
          <w:lang w:val="en-US"/>
        </w:rPr>
        <w:t>201</w:t>
      </w:r>
      <w:r>
        <w:rPr>
          <w:lang w:val="en-US"/>
        </w:rPr>
        <w:t>7a</w:t>
      </w:r>
      <w:r w:rsidRPr="002848B6">
        <w:rPr>
          <w:lang w:val="en-US"/>
        </w:rPr>
        <w:t xml:space="preserve">. ICCAT Atlantic wide research </w:t>
      </w:r>
      <w:proofErr w:type="spellStart"/>
      <w:r w:rsidRPr="002848B6">
        <w:rPr>
          <w:lang w:val="en-US"/>
        </w:rPr>
        <w:t>programme</w:t>
      </w:r>
      <w:proofErr w:type="spellEnd"/>
      <w:r w:rsidRPr="002848B6">
        <w:rPr>
          <w:lang w:val="en-US"/>
        </w:rPr>
        <w:t xml:space="preserve"> for Bluefin Tuna. Available online at: http://www.iccat.int/GBYP/en/index.htm [</w:t>
      </w:r>
      <w:r>
        <w:rPr>
          <w:lang w:val="en-US"/>
        </w:rPr>
        <w:t xml:space="preserve">accessed </w:t>
      </w:r>
      <w:r>
        <w:t>September 2017</w:t>
      </w:r>
      <w:r w:rsidRPr="002848B6">
        <w:rPr>
          <w:lang w:val="en-US"/>
        </w:rPr>
        <w:t>]</w:t>
      </w:r>
    </w:p>
    <w:p w14:paraId="1F835BCC" w14:textId="77AF5892" w:rsidR="004E1E8D" w:rsidRDefault="001F274F" w:rsidP="004E1E8D">
      <w:pPr>
        <w:spacing w:afterLines="40" w:after="96"/>
        <w:ind w:left="425" w:right="-11" w:hanging="425"/>
        <w:jc w:val="both"/>
        <w:rPr>
          <w:lang w:val="en-US"/>
        </w:rPr>
      </w:pPr>
      <w:r>
        <w:rPr>
          <w:lang w:val="en-US"/>
        </w:rPr>
        <w:t>GBYP. 2017</w:t>
      </w:r>
      <w:r w:rsidR="002848B6">
        <w:rPr>
          <w:lang w:val="en-US"/>
        </w:rPr>
        <w:t>b</w:t>
      </w:r>
      <w:r>
        <w:rPr>
          <w:lang w:val="en-US"/>
        </w:rPr>
        <w:t xml:space="preserve">. Data to inform operating models for North Atlantic bluefin tuna. </w:t>
      </w:r>
      <w:r w:rsidRPr="000E1796">
        <w:t>ICCAT Atlantic Wide Rese</w:t>
      </w:r>
      <w:r>
        <w:t>arch Programme for Bluefin Tuna. Available at</w:t>
      </w:r>
      <w:r w:rsidRPr="001F274F">
        <w:rPr>
          <w:highlight w:val="yellow"/>
        </w:rPr>
        <w:t>: [</w:t>
      </w:r>
      <w:r>
        <w:t>accessed September 2017]</w:t>
      </w:r>
    </w:p>
    <w:p w14:paraId="4D068BFA" w14:textId="447ADA6B" w:rsidR="0000387F" w:rsidRDefault="004E1E8D" w:rsidP="004E1E8D">
      <w:pPr>
        <w:spacing w:afterLines="40" w:after="96"/>
        <w:ind w:left="425" w:right="-11" w:hanging="425"/>
        <w:jc w:val="both"/>
        <w:rPr>
          <w:lang w:val="en-US"/>
        </w:rPr>
      </w:pPr>
      <w:r w:rsidRPr="004E1E8D">
        <w:rPr>
          <w:lang w:val="en-US"/>
        </w:rPr>
        <w:t xml:space="preserve">Cochrane, K L., Butterworth, D.S., De Oliveira, J.A.A., </w:t>
      </w:r>
      <w:proofErr w:type="spellStart"/>
      <w:r w:rsidRPr="004E1E8D">
        <w:rPr>
          <w:lang w:val="en-US"/>
        </w:rPr>
        <w:t>Roel</w:t>
      </w:r>
      <w:proofErr w:type="spellEnd"/>
      <w:r w:rsidRPr="004E1E8D">
        <w:rPr>
          <w:lang w:val="en-US"/>
        </w:rPr>
        <w:t>, B.A., 1998. Management procedures in a fishery based on highly variable stocks and with conflicting objectives: experiences in the South African pelagic fishery. Rev. Fish. Biol. Fisher. 8, 177-214.</w:t>
      </w:r>
    </w:p>
    <w:p w14:paraId="4BE77C29" w14:textId="2CE5AC99" w:rsidR="001F274F" w:rsidRDefault="001F274F" w:rsidP="004E1E8D">
      <w:pPr>
        <w:spacing w:afterLines="40" w:after="96"/>
        <w:ind w:left="425" w:right="-11" w:hanging="425"/>
        <w:jc w:val="both"/>
        <w:rPr>
          <w:lang w:val="en-US"/>
        </w:rPr>
      </w:pPr>
      <w:r w:rsidRPr="001F274F">
        <w:rPr>
          <w:lang w:val="en-US"/>
        </w:rPr>
        <w:t>Punt, A.E., Butterworth, D.S., de Moor, C.L., De Oliveira, J.A.A., Haddon, M., 2016.</w:t>
      </w:r>
      <w:r>
        <w:rPr>
          <w:lang w:val="en-US"/>
        </w:rPr>
        <w:t xml:space="preserve"> </w:t>
      </w:r>
      <w:r w:rsidRPr="001F274F">
        <w:rPr>
          <w:lang w:val="en-US"/>
        </w:rPr>
        <w:t xml:space="preserve">Management strategy evaluation: best practices. Fish </w:t>
      </w:r>
      <w:proofErr w:type="spellStart"/>
      <w:r w:rsidRPr="001F274F">
        <w:rPr>
          <w:lang w:val="en-US"/>
        </w:rPr>
        <w:t>Fish</w:t>
      </w:r>
      <w:proofErr w:type="spellEnd"/>
      <w:r w:rsidRPr="001F274F">
        <w:rPr>
          <w:lang w:val="en-US"/>
        </w:rPr>
        <w:t>. 17, 303–334, http://dx.doi.org/10.1111/faf.12104.</w:t>
      </w: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7426CE56"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w:t>
      </w:r>
      <w:r w:rsidR="00F23CB1">
        <w:rPr>
          <w:b w:val="0"/>
          <w:i w:val="0"/>
        </w:rPr>
        <w:t xml:space="preserve">design of reference operating models. Note, only future recruitment level 1 are presented in this paper since future recruitment scenario is unrelated to fitting of operating models. </w:t>
      </w:r>
    </w:p>
    <w:p w14:paraId="29731C53" w14:textId="66839857" w:rsidR="001256DA" w:rsidRDefault="00F23CB1" w:rsidP="00532620">
      <w:pPr>
        <w:rPr>
          <w:rFonts w:cs="Times New Roman"/>
          <w:szCs w:val="20"/>
        </w:rPr>
      </w:pPr>
      <w:r>
        <w:rPr>
          <w:noProof/>
          <w:lang w:eastAsia="en-CA"/>
        </w:rPr>
        <w:drawing>
          <wp:inline distT="0" distB="0" distL="0" distR="0" wp14:anchorId="61783A63" wp14:editId="350B1DBA">
            <wp:extent cx="2995924" cy="28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3"/>
                    <a:stretch/>
                  </pic:blipFill>
                  <pic:spPr bwMode="auto">
                    <a:xfrm>
                      <a:off x="0" y="0"/>
                      <a:ext cx="3009949" cy="2893483"/>
                    </a:xfrm>
                    <a:prstGeom prst="rect">
                      <a:avLst/>
                    </a:prstGeom>
                    <a:ln>
                      <a:noFill/>
                    </a:ln>
                    <a:extLst>
                      <a:ext uri="{53640926-AAD7-44D8-BBD7-CCE9431645EC}">
                        <a14:shadowObscured xmlns:a14="http://schemas.microsoft.com/office/drawing/2010/main"/>
                      </a:ext>
                    </a:extLst>
                  </pic:spPr>
                </pic:pic>
              </a:graphicData>
            </a:graphic>
          </wp:inline>
        </w:drawing>
      </w:r>
    </w:p>
    <w:p w14:paraId="2CA1E132" w14:textId="33024520" w:rsidR="00001FA7" w:rsidRDefault="00DA3073" w:rsidP="0058379D">
      <w:pPr>
        <w:keepNext/>
        <w:keepLines/>
        <w:rPr>
          <w:b/>
        </w:rPr>
        <w:sectPr w:rsidR="00001FA7" w:rsidSect="004756EC">
          <w:headerReference w:type="first" r:id="rId9"/>
          <w:pgSz w:w="11907" w:h="16840" w:code="9"/>
          <w:pgMar w:top="992" w:right="1440" w:bottom="1276" w:left="1440" w:header="709" w:footer="709" w:gutter="0"/>
          <w:cols w:space="708"/>
          <w:titlePg/>
          <w:docGrid w:linePitch="360"/>
        </w:sectPr>
      </w:pPr>
      <w:r w:rsidRPr="00DA3073">
        <w:rPr>
          <w:noProof/>
          <w:lang w:eastAsia="en-CA"/>
        </w:rPr>
        <w:t xml:space="preserve"> </w:t>
      </w:r>
      <w:r w:rsidR="00F23CB1">
        <w:rPr>
          <w:noProof/>
          <w:lang w:eastAsia="en-CA"/>
        </w:rPr>
        <w:drawing>
          <wp:inline distT="0" distB="0" distL="0" distR="0" wp14:anchorId="7922A7C6" wp14:editId="4B536D81">
            <wp:extent cx="2973788" cy="1625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5" t="1755" r="185" b="-1755"/>
                    <a:stretch/>
                  </pic:blipFill>
                  <pic:spPr>
                    <a:xfrm>
                      <a:off x="0" y="0"/>
                      <a:ext cx="3002022" cy="1640916"/>
                    </a:xfrm>
                    <a:prstGeom prst="rect">
                      <a:avLst/>
                    </a:prstGeom>
                  </pic:spPr>
                </pic:pic>
              </a:graphicData>
            </a:graphic>
          </wp:inline>
        </w:drawing>
      </w:r>
    </w:p>
    <w:p w14:paraId="1AE5776A" w14:textId="768ECAA9" w:rsidR="0058379D" w:rsidRDefault="0058379D" w:rsidP="001624AE">
      <w:pPr>
        <w:keepNext/>
        <w:keepLines/>
        <w:jc w:val="center"/>
      </w:pPr>
      <w:r>
        <w:rPr>
          <w:noProof/>
          <w:lang w:eastAsia="en-CA"/>
        </w:rPr>
        <w:lastRenderedPageBreak/>
        <w:drawing>
          <wp:inline distT="0" distB="0" distL="0" distR="0" wp14:anchorId="5F01A45D" wp14:editId="4734F0F1">
            <wp:extent cx="5732145" cy="5797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797550"/>
                    </a:xfrm>
                    <a:prstGeom prst="rect">
                      <a:avLst/>
                    </a:prstGeom>
                  </pic:spPr>
                </pic:pic>
              </a:graphicData>
            </a:graphic>
          </wp:inline>
        </w:drawing>
      </w:r>
    </w:p>
    <w:p w14:paraId="2640A1B8" w14:textId="7928D27A" w:rsidR="00590DA0" w:rsidRDefault="00590DA0" w:rsidP="00590DA0">
      <w:pPr>
        <w:keepNext/>
        <w:keepLines/>
      </w:pPr>
      <w:r w:rsidRPr="00590DA0">
        <w:rPr>
          <w:b/>
        </w:rPr>
        <w:t>Figure 1a</w:t>
      </w:r>
      <w:r>
        <w:t>. Residuals for operation model fits (columns) to various assessment indices (rows)</w:t>
      </w:r>
    </w:p>
    <w:p w14:paraId="7022E1B1" w14:textId="78ED9DD2" w:rsidR="0058379D" w:rsidRDefault="0058379D" w:rsidP="001624AE">
      <w:pPr>
        <w:keepNext/>
        <w:keepLines/>
        <w:jc w:val="center"/>
      </w:pPr>
      <w:r>
        <w:rPr>
          <w:noProof/>
          <w:lang w:eastAsia="en-CA"/>
        </w:rPr>
        <w:lastRenderedPageBreak/>
        <w:drawing>
          <wp:inline distT="0" distB="0" distL="0" distR="0" wp14:anchorId="4ECC7C78" wp14:editId="400B5AD8">
            <wp:extent cx="5732145" cy="5797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797550"/>
                    </a:xfrm>
                    <a:prstGeom prst="rect">
                      <a:avLst/>
                    </a:prstGeom>
                  </pic:spPr>
                </pic:pic>
              </a:graphicData>
            </a:graphic>
          </wp:inline>
        </w:drawing>
      </w:r>
    </w:p>
    <w:p w14:paraId="2A036632" w14:textId="0B3E56CB" w:rsidR="00590DA0" w:rsidRDefault="00590DA0" w:rsidP="00590DA0">
      <w:pPr>
        <w:keepNext/>
        <w:keepLines/>
      </w:pPr>
      <w:r w:rsidRPr="00590DA0">
        <w:rPr>
          <w:b/>
        </w:rPr>
        <w:t>Figure 1b</w:t>
      </w:r>
      <w:r>
        <w:t>. Residuals for operation model fits (columns) to various assessment indices (rows)</w:t>
      </w:r>
    </w:p>
    <w:p w14:paraId="3631A7E9" w14:textId="77777777" w:rsidR="00590DA0" w:rsidRDefault="00590DA0" w:rsidP="001624AE">
      <w:pPr>
        <w:keepNext/>
        <w:keepLines/>
        <w:jc w:val="center"/>
      </w:pPr>
    </w:p>
    <w:p w14:paraId="2E1F7813" w14:textId="4408046C" w:rsidR="00590DA0" w:rsidRDefault="0058379D" w:rsidP="00590DA0">
      <w:pPr>
        <w:keepNext/>
        <w:keepLines/>
      </w:pPr>
      <w:r>
        <w:rPr>
          <w:noProof/>
          <w:lang w:eastAsia="en-CA"/>
        </w:rPr>
        <w:lastRenderedPageBreak/>
        <w:drawing>
          <wp:inline distT="0" distB="0" distL="0" distR="0" wp14:anchorId="741947A4" wp14:editId="726571CC">
            <wp:extent cx="5732145" cy="5797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5797550"/>
                    </a:xfrm>
                    <a:prstGeom prst="rect">
                      <a:avLst/>
                    </a:prstGeom>
                  </pic:spPr>
                </pic:pic>
              </a:graphicData>
            </a:graphic>
          </wp:inline>
        </w:drawing>
      </w:r>
      <w:r w:rsidR="00590DA0" w:rsidRPr="00590DA0">
        <w:t xml:space="preserve"> </w:t>
      </w:r>
      <w:r w:rsidR="00590DA0" w:rsidRPr="00590DA0">
        <w:rPr>
          <w:b/>
        </w:rPr>
        <w:t>Figure 1c</w:t>
      </w:r>
      <w:r w:rsidR="00590DA0">
        <w:t>. Residuals for operation model fits (columns) to various assessment indices (rows)</w:t>
      </w:r>
    </w:p>
    <w:p w14:paraId="0EA8DBED" w14:textId="31D283DB" w:rsidR="0058379D" w:rsidRDefault="0058379D" w:rsidP="001624AE">
      <w:pPr>
        <w:keepNext/>
        <w:keepLines/>
        <w:jc w:val="center"/>
      </w:pPr>
    </w:p>
    <w:p w14:paraId="38CBA0E3" w14:textId="44F4A37D" w:rsidR="0058379D" w:rsidRDefault="0058379D" w:rsidP="001624AE">
      <w:pPr>
        <w:keepNext/>
        <w:keepLines/>
        <w:jc w:val="center"/>
      </w:pPr>
      <w:r>
        <w:rPr>
          <w:noProof/>
          <w:lang w:eastAsia="en-CA"/>
        </w:rPr>
        <w:lastRenderedPageBreak/>
        <w:drawing>
          <wp:inline distT="0" distB="0" distL="0" distR="0" wp14:anchorId="7830C3A1" wp14:editId="7E5E9067">
            <wp:extent cx="5732145" cy="5797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5797550"/>
                    </a:xfrm>
                    <a:prstGeom prst="rect">
                      <a:avLst/>
                    </a:prstGeom>
                  </pic:spPr>
                </pic:pic>
              </a:graphicData>
            </a:graphic>
          </wp:inline>
        </w:drawing>
      </w:r>
    </w:p>
    <w:p w14:paraId="15846FD4" w14:textId="0F4AB1DC" w:rsidR="00590DA0" w:rsidRDefault="00590DA0" w:rsidP="00590DA0">
      <w:pPr>
        <w:keepNext/>
        <w:keepLines/>
      </w:pPr>
      <w:r w:rsidRPr="00590DA0">
        <w:rPr>
          <w:b/>
        </w:rPr>
        <w:t>Figure 1d</w:t>
      </w:r>
      <w:r>
        <w:t>. Residuals for operation model fits (columns) to various assessment indices (rows)</w:t>
      </w:r>
    </w:p>
    <w:p w14:paraId="029E7F40" w14:textId="77777777" w:rsidR="00590DA0" w:rsidRDefault="00590DA0" w:rsidP="00590DA0">
      <w:pPr>
        <w:keepNext/>
        <w:keepLines/>
      </w:pPr>
    </w:p>
    <w:p w14:paraId="7E3683F1" w14:textId="08E25465" w:rsidR="001624AE" w:rsidRDefault="0058379D" w:rsidP="001624AE">
      <w:pPr>
        <w:keepNext/>
        <w:keepLines/>
        <w:jc w:val="center"/>
      </w:pPr>
      <w:r>
        <w:rPr>
          <w:noProof/>
          <w:lang w:eastAsia="en-CA"/>
        </w:rPr>
        <w:lastRenderedPageBreak/>
        <w:drawing>
          <wp:inline distT="0" distB="0" distL="0" distR="0" wp14:anchorId="6DCC4E53" wp14:editId="2DAE6C8C">
            <wp:extent cx="5732145" cy="5797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5797550"/>
                    </a:xfrm>
                    <a:prstGeom prst="rect">
                      <a:avLst/>
                    </a:prstGeom>
                  </pic:spPr>
                </pic:pic>
              </a:graphicData>
            </a:graphic>
          </wp:inline>
        </w:drawing>
      </w:r>
    </w:p>
    <w:p w14:paraId="37A9A1D5" w14:textId="2B0599A9" w:rsidR="00590DA0" w:rsidRDefault="00590DA0" w:rsidP="00590DA0">
      <w:pPr>
        <w:keepNext/>
        <w:keepLines/>
      </w:pPr>
      <w:r w:rsidRPr="00590DA0">
        <w:rPr>
          <w:b/>
        </w:rPr>
        <w:t>Figure 1</w:t>
      </w:r>
      <w:r>
        <w:rPr>
          <w:b/>
        </w:rPr>
        <w:t>e</w:t>
      </w:r>
      <w:r>
        <w:t>. Residuals for operation model fits (columns) to various assessment indices (rows)</w:t>
      </w:r>
    </w:p>
    <w:p w14:paraId="57C54509" w14:textId="75E04450" w:rsidR="001624AE" w:rsidRDefault="001624AE" w:rsidP="001624AE">
      <w:pPr>
        <w:keepNext/>
        <w:keepLines/>
      </w:pPr>
    </w:p>
    <w:p w14:paraId="45F65305" w14:textId="77777777" w:rsidR="001624AE" w:rsidRDefault="001624AE" w:rsidP="001624AE">
      <w:pPr>
        <w:keepNext/>
        <w:keepLines/>
      </w:pPr>
    </w:p>
    <w:p w14:paraId="15DBBE1C" w14:textId="77777777" w:rsidR="001624AE" w:rsidRDefault="001624AE" w:rsidP="001624AE">
      <w:pPr>
        <w:keepNext/>
        <w:keepLines/>
      </w:pPr>
    </w:p>
    <w:p w14:paraId="2A19031A" w14:textId="77777777" w:rsidR="001624AE" w:rsidRDefault="001624AE" w:rsidP="001624AE">
      <w:pPr>
        <w:keepNext/>
        <w:keepLines/>
      </w:pPr>
    </w:p>
    <w:p w14:paraId="0A82CEBD" w14:textId="52715832" w:rsidR="001624AE" w:rsidRDefault="001624AE" w:rsidP="001624AE">
      <w:pPr>
        <w:tabs>
          <w:tab w:val="left" w:pos="284"/>
          <w:tab w:val="left" w:pos="567"/>
        </w:tabs>
        <w:spacing w:line="240" w:lineRule="exact"/>
        <w:rPr>
          <w:rFonts w:cs="Times New Roman"/>
          <w:bCs/>
          <w:szCs w:val="20"/>
        </w:rPr>
      </w:pPr>
    </w:p>
    <w:p w14:paraId="5741EC65" w14:textId="1B12FEA4" w:rsidR="001624AE" w:rsidRPr="00C20E80" w:rsidRDefault="001624AE" w:rsidP="001624AE">
      <w:pPr>
        <w:tabs>
          <w:tab w:val="left" w:pos="284"/>
          <w:tab w:val="left" w:pos="567"/>
        </w:tabs>
        <w:jc w:val="center"/>
        <w:rPr>
          <w:rFonts w:cs="Times New Roman"/>
          <w:szCs w:val="20"/>
        </w:rPr>
      </w:pPr>
    </w:p>
    <w:p w14:paraId="017ABDA9" w14:textId="77777777" w:rsidR="001624AE" w:rsidRDefault="001624AE" w:rsidP="006A6C8C">
      <w:pPr>
        <w:keepNext/>
        <w:keepLines/>
      </w:pPr>
    </w:p>
    <w:p w14:paraId="7ED51EA8" w14:textId="77777777" w:rsidR="001D18BD" w:rsidRDefault="001D18BD" w:rsidP="006A6C8C">
      <w:pPr>
        <w:keepNext/>
        <w:keepLines/>
      </w:pPr>
    </w:p>
    <w:p w14:paraId="701A022E" w14:textId="77777777" w:rsidR="001D18BD" w:rsidRDefault="001D18BD" w:rsidP="006A6C8C">
      <w:pPr>
        <w:keepNext/>
        <w:keepLines/>
      </w:pPr>
    </w:p>
    <w:p w14:paraId="7DAAAA7F" w14:textId="3429C2EA" w:rsidR="00B763D2" w:rsidRDefault="00920685" w:rsidP="00B763D2">
      <w:pPr>
        <w:tabs>
          <w:tab w:val="left" w:pos="284"/>
          <w:tab w:val="left" w:pos="567"/>
        </w:tabs>
        <w:rPr>
          <w:rFonts w:cs="Times New Roman"/>
          <w:b/>
          <w:szCs w:val="20"/>
        </w:rPr>
      </w:pPr>
      <w:r>
        <w:t xml:space="preserve"> </w:t>
      </w:r>
      <w:r w:rsidR="00B763D2">
        <w:rPr>
          <w:noProof/>
          <w:lang w:eastAsia="en-CA"/>
        </w:rPr>
        <w:drawing>
          <wp:inline distT="0" distB="0" distL="0" distR="0" wp14:anchorId="7F38D12C" wp14:editId="0CC34150">
            <wp:extent cx="5731207" cy="487889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091" cy="4891569"/>
                    </a:xfrm>
                    <a:prstGeom prst="rect">
                      <a:avLst/>
                    </a:prstGeom>
                  </pic:spPr>
                </pic:pic>
              </a:graphicData>
            </a:graphic>
          </wp:inline>
        </w:drawing>
      </w:r>
      <w:r w:rsidR="00B763D2" w:rsidRPr="00B763D2">
        <w:rPr>
          <w:rFonts w:cs="Times New Roman"/>
          <w:b/>
          <w:szCs w:val="20"/>
        </w:rPr>
        <w:t xml:space="preserve"> </w:t>
      </w:r>
    </w:p>
    <w:p w14:paraId="175BB48A" w14:textId="77777777" w:rsidR="00B763D2" w:rsidRPr="00B763D2" w:rsidRDefault="00B763D2" w:rsidP="00B763D2">
      <w:pPr>
        <w:tabs>
          <w:tab w:val="left" w:pos="284"/>
          <w:tab w:val="left" w:pos="567"/>
        </w:tabs>
        <w:rPr>
          <w:rFonts w:cs="Times New Roman"/>
          <w:szCs w:val="20"/>
        </w:rPr>
      </w:pPr>
      <w:r>
        <w:rPr>
          <w:rFonts w:cs="Times New Roman"/>
          <w:b/>
          <w:szCs w:val="20"/>
        </w:rPr>
        <w:t>Figure 2</w:t>
      </w:r>
      <w:r w:rsidRPr="0028761F">
        <w:rPr>
          <w:rFonts w:cs="Times New Roman"/>
          <w:b/>
          <w:szCs w:val="20"/>
        </w:rPr>
        <w:t>.</w:t>
      </w:r>
      <w:r>
        <w:rPr>
          <w:rFonts w:cs="Times New Roman"/>
          <w:b/>
          <w:szCs w:val="20"/>
        </w:rPr>
        <w:t xml:space="preserve"> </w:t>
      </w:r>
      <w:r>
        <w:rPr>
          <w:rFonts w:cs="Times New Roman"/>
          <w:szCs w:val="20"/>
        </w:rPr>
        <w:t>Predicted spawning biomass (East and West stocks) for each operating model (maximum posterior density estimates)</w:t>
      </w:r>
    </w:p>
    <w:p w14:paraId="25258E43" w14:textId="100A890F" w:rsidR="00920685" w:rsidRDefault="00920685" w:rsidP="006A6C8C">
      <w:pPr>
        <w:keepNext/>
        <w:keepLines/>
      </w:pPr>
    </w:p>
    <w:sectPr w:rsidR="00920685"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0C67A" w14:textId="77777777" w:rsidR="00FC79D9" w:rsidRDefault="00FC79D9" w:rsidP="003B5FF7">
      <w:r>
        <w:separator/>
      </w:r>
    </w:p>
  </w:endnote>
  <w:endnote w:type="continuationSeparator" w:id="0">
    <w:p w14:paraId="55EADE40" w14:textId="77777777" w:rsidR="00FC79D9" w:rsidRDefault="00FC79D9"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943269" w14:textId="77777777" w:rsidR="00FC79D9" w:rsidRDefault="00FC79D9" w:rsidP="003B5FF7">
      <w:r>
        <w:separator/>
      </w:r>
    </w:p>
  </w:footnote>
  <w:footnote w:type="continuationSeparator" w:id="0">
    <w:p w14:paraId="0B93313D" w14:textId="77777777" w:rsidR="00FC79D9" w:rsidRDefault="00FC79D9"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3705" w14:textId="0618E196" w:rsidR="00AE7248" w:rsidRPr="00066B92" w:rsidRDefault="000E47FD" w:rsidP="00AE7248">
    <w:pPr>
      <w:tabs>
        <w:tab w:val="right" w:pos="9072"/>
      </w:tabs>
    </w:pPr>
    <w:r>
      <w:t>SCRS/201</w:t>
    </w:r>
    <w:r w:rsidR="00EB7F5A">
      <w:t>7</w:t>
    </w:r>
    <w:r w:rsidR="00042CBB">
      <w:t>/</w:t>
    </w:r>
    <w:r w:rsidR="0058379D">
      <w:t>X</w:t>
    </w:r>
    <w:r w:rsidR="001C528A">
      <w:t>4</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w:t>
    </w:r>
    <w:proofErr w:type="gramStart"/>
    <w:r w:rsidR="00AE7248">
      <w:rPr>
        <w:rFonts w:ascii="Arial" w:hAnsi="Arial"/>
      </w:rPr>
      <w:t>, ??</w:t>
    </w:r>
    <w:proofErr w:type="gramEnd"/>
    <w:r w:rsidR="00AE7248">
      <w:rPr>
        <w:rFonts w:ascii="Arial" w:hAnsi="Arial"/>
      </w:rPr>
      <w:t>(?):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C1C4C"/>
    <w:rsid w:val="001C48D6"/>
    <w:rsid w:val="001C528A"/>
    <w:rsid w:val="001C6455"/>
    <w:rsid w:val="001D087F"/>
    <w:rsid w:val="001D18BD"/>
    <w:rsid w:val="001E4B58"/>
    <w:rsid w:val="001F274F"/>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3C7E"/>
    <w:rsid w:val="002E4D73"/>
    <w:rsid w:val="002E5453"/>
    <w:rsid w:val="002F0BD2"/>
    <w:rsid w:val="002F5DBD"/>
    <w:rsid w:val="00303614"/>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791A"/>
    <w:rsid w:val="00A0032D"/>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763D2"/>
    <w:rsid w:val="00B87E09"/>
    <w:rsid w:val="00B96C8E"/>
    <w:rsid w:val="00BA66D6"/>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40FE5"/>
    <w:rsid w:val="00F50E96"/>
    <w:rsid w:val="00F52163"/>
    <w:rsid w:val="00F5545F"/>
    <w:rsid w:val="00F6334C"/>
    <w:rsid w:val="00F637E9"/>
    <w:rsid w:val="00F657BD"/>
    <w:rsid w:val="00F76789"/>
    <w:rsid w:val="00F91ADF"/>
    <w:rsid w:val="00F9468C"/>
    <w:rsid w:val="00FA7237"/>
    <w:rsid w:val="00FB4FC7"/>
    <w:rsid w:val="00FC79D9"/>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
    <w:name w:val="Unresolved Mention"/>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63DB3-8FF2-4493-8182-ED67572A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2</cp:revision>
  <cp:lastPrinted>2016-11-29T18:11:00Z</cp:lastPrinted>
  <dcterms:created xsi:type="dcterms:W3CDTF">2017-09-20T21:59:00Z</dcterms:created>
  <dcterms:modified xsi:type="dcterms:W3CDTF">2017-09-20T21:59:00Z</dcterms:modified>
</cp:coreProperties>
</file>