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C794E" w14:textId="77777777" w:rsidR="00532620" w:rsidRPr="002D2024" w:rsidRDefault="00532620" w:rsidP="002D2024">
      <w:pPr>
        <w:jc w:val="center"/>
        <w:rPr>
          <w:rFonts w:cs="Times New Roman"/>
          <w:b/>
          <w:caps/>
          <w:szCs w:val="20"/>
        </w:rPr>
      </w:pPr>
    </w:p>
    <w:p w14:paraId="6F3664F3" w14:textId="77777777" w:rsidR="00532620" w:rsidRPr="002D2024" w:rsidRDefault="00532620" w:rsidP="002D2024">
      <w:pPr>
        <w:jc w:val="center"/>
        <w:rPr>
          <w:rFonts w:cs="Times New Roman"/>
          <w:b/>
          <w:caps/>
          <w:szCs w:val="20"/>
        </w:rPr>
      </w:pPr>
    </w:p>
    <w:p w14:paraId="14CBA049" w14:textId="507304CB" w:rsidR="00532620" w:rsidRPr="002D2024" w:rsidRDefault="00E65FE1" w:rsidP="002D2024">
      <w:pPr>
        <w:jc w:val="center"/>
        <w:rPr>
          <w:rFonts w:cs="Times New Roman"/>
          <w:b/>
          <w:caps/>
          <w:szCs w:val="20"/>
        </w:rPr>
      </w:pPr>
      <w:r>
        <w:rPr>
          <w:rFonts w:cs="Times New Roman"/>
          <w:b/>
          <w:caps/>
          <w:szCs w:val="20"/>
        </w:rPr>
        <w:t xml:space="preserve">A mixture model interpretation of </w:t>
      </w:r>
      <w:r w:rsidR="00503243">
        <w:rPr>
          <w:rFonts w:cs="Times New Roman"/>
          <w:b/>
          <w:caps/>
          <w:szCs w:val="20"/>
        </w:rPr>
        <w:t xml:space="preserve">Stock of origin data for Atlantic bluefin tuna </w:t>
      </w:r>
    </w:p>
    <w:p w14:paraId="62D0DA79" w14:textId="77777777" w:rsidR="00532620" w:rsidRPr="002D2024" w:rsidRDefault="00532620" w:rsidP="002D2024">
      <w:pPr>
        <w:jc w:val="center"/>
        <w:rPr>
          <w:rFonts w:cs="Times New Roman"/>
          <w:b/>
          <w:caps/>
          <w:szCs w:val="20"/>
        </w:rPr>
      </w:pPr>
    </w:p>
    <w:p w14:paraId="663DADF2" w14:textId="2350E01F" w:rsidR="004E17B7" w:rsidRPr="002D2024" w:rsidRDefault="004E17B7" w:rsidP="002D2024">
      <w:pPr>
        <w:jc w:val="center"/>
        <w:rPr>
          <w:rFonts w:cs="Times New Roman"/>
          <w:szCs w:val="20"/>
          <w:lang w:val="it-IT"/>
        </w:rPr>
      </w:pPr>
      <w:r w:rsidRPr="002D2024">
        <w:rPr>
          <w:rFonts w:cs="Times New Roman"/>
          <w:szCs w:val="20"/>
          <w:lang w:val="it-IT"/>
        </w:rPr>
        <w:t>Tom Carruthers</w:t>
      </w:r>
      <w:r w:rsidRPr="002D2024">
        <w:rPr>
          <w:rStyle w:val="FootnoteReference"/>
          <w:rFonts w:cs="Times New Roman"/>
          <w:szCs w:val="20"/>
        </w:rPr>
        <w:footnoteReference w:id="1"/>
      </w:r>
      <w:r w:rsidR="00931920">
        <w:rPr>
          <w:rFonts w:cs="Times New Roman"/>
          <w:szCs w:val="20"/>
          <w:lang w:val="it-IT"/>
        </w:rPr>
        <w:t xml:space="preserve"> and</w:t>
      </w:r>
      <w:r w:rsidR="00EB7F5A" w:rsidRPr="002D2024">
        <w:rPr>
          <w:rFonts w:cs="Times New Roman"/>
          <w:szCs w:val="20"/>
          <w:lang w:val="it-IT"/>
        </w:rPr>
        <w:t xml:space="preserve"> </w:t>
      </w:r>
      <w:r w:rsidR="0058379D" w:rsidRPr="002D2024">
        <w:rPr>
          <w:rFonts w:cs="Times New Roman"/>
          <w:szCs w:val="20"/>
          <w:lang w:val="it-IT"/>
        </w:rPr>
        <w:t xml:space="preserve">Doug </w:t>
      </w:r>
      <w:r w:rsidR="00931920">
        <w:rPr>
          <w:rFonts w:cs="Times New Roman"/>
          <w:szCs w:val="20"/>
          <w:lang w:val="it-IT"/>
        </w:rPr>
        <w:t xml:space="preserve">S </w:t>
      </w:r>
      <w:r w:rsidR="0058379D" w:rsidRPr="002D2024">
        <w:rPr>
          <w:rFonts w:cs="Times New Roman"/>
          <w:szCs w:val="20"/>
          <w:lang w:val="it-IT"/>
        </w:rPr>
        <w:t>Butterworth</w:t>
      </w:r>
      <w:r w:rsidR="0058379D" w:rsidRPr="002D2024">
        <w:rPr>
          <w:rStyle w:val="FootnoteReference"/>
          <w:rFonts w:cs="Times New Roman"/>
          <w:szCs w:val="20"/>
          <w:lang w:val="it-IT"/>
        </w:rPr>
        <w:footnoteReference w:id="2"/>
      </w:r>
    </w:p>
    <w:p w14:paraId="7D36CA49" w14:textId="77777777" w:rsidR="00532620" w:rsidRPr="002D2024" w:rsidRDefault="00532620" w:rsidP="002D2024">
      <w:pPr>
        <w:jc w:val="center"/>
        <w:rPr>
          <w:rFonts w:cs="Times New Roman"/>
          <w:i/>
          <w:szCs w:val="20"/>
          <w:lang w:val="it-IT"/>
        </w:rPr>
      </w:pPr>
    </w:p>
    <w:p w14:paraId="39FB446A" w14:textId="77777777" w:rsidR="00532620" w:rsidRPr="002D2024" w:rsidRDefault="00532620" w:rsidP="002D2024">
      <w:pPr>
        <w:jc w:val="center"/>
        <w:rPr>
          <w:rFonts w:cs="Times New Roman"/>
          <w:i/>
          <w:szCs w:val="20"/>
          <w:lang w:val="it-IT"/>
        </w:rPr>
      </w:pPr>
    </w:p>
    <w:p w14:paraId="777C591E" w14:textId="77777777" w:rsidR="003B5FF7" w:rsidRPr="002D2024" w:rsidRDefault="003B5FF7" w:rsidP="002D2024">
      <w:pPr>
        <w:jc w:val="center"/>
        <w:rPr>
          <w:i/>
          <w:szCs w:val="20"/>
        </w:rPr>
      </w:pPr>
      <w:r w:rsidRPr="002D2024">
        <w:rPr>
          <w:i/>
          <w:szCs w:val="20"/>
        </w:rPr>
        <w:t>SUMMARY</w:t>
      </w:r>
    </w:p>
    <w:p w14:paraId="7873C017" w14:textId="77777777" w:rsidR="00532620" w:rsidRPr="002D2024" w:rsidRDefault="00532620" w:rsidP="002D2024">
      <w:pPr>
        <w:jc w:val="center"/>
        <w:rPr>
          <w:rFonts w:cs="Times New Roman"/>
          <w:i/>
          <w:szCs w:val="20"/>
        </w:rPr>
      </w:pPr>
    </w:p>
    <w:p w14:paraId="0B9D3DA7" w14:textId="40A5A3D8" w:rsidR="00043093" w:rsidRPr="002D2024" w:rsidRDefault="005E667E" w:rsidP="002D2024">
      <w:pPr>
        <w:ind w:left="709" w:right="663"/>
        <w:jc w:val="both"/>
        <w:rPr>
          <w:rFonts w:cs="Times New Roman"/>
          <w:szCs w:val="20"/>
        </w:rPr>
      </w:pPr>
      <w:r>
        <w:rPr>
          <w:rFonts w:cs="Times New Roman"/>
          <w:szCs w:val="20"/>
        </w:rPr>
        <w:t>Stock of origin data provide uncertain inference</w:t>
      </w:r>
      <w:r w:rsidR="00931920">
        <w:rPr>
          <w:rFonts w:cs="Times New Roman"/>
          <w:szCs w:val="20"/>
        </w:rPr>
        <w:t>s for</w:t>
      </w:r>
      <w:r>
        <w:rPr>
          <w:rFonts w:cs="Times New Roman"/>
          <w:szCs w:val="20"/>
        </w:rPr>
        <w:t xml:space="preserve"> </w:t>
      </w:r>
      <w:r w:rsidR="00931920">
        <w:rPr>
          <w:rFonts w:cs="Times New Roman"/>
          <w:szCs w:val="20"/>
        </w:rPr>
        <w:t>the</w:t>
      </w:r>
      <w:r>
        <w:rPr>
          <w:rFonts w:cs="Times New Roman"/>
          <w:szCs w:val="20"/>
        </w:rPr>
        <w:t xml:space="preserve"> stock composition of catches even in natal spawning areas. When conditioning operating models that account for stock mixing</w:t>
      </w:r>
      <w:r w:rsidR="002E5718">
        <w:rPr>
          <w:rFonts w:cs="Times New Roman"/>
          <w:szCs w:val="20"/>
        </w:rPr>
        <w:t>,</w:t>
      </w:r>
      <w:r>
        <w:rPr>
          <w:rFonts w:cs="Times New Roman"/>
          <w:szCs w:val="20"/>
        </w:rPr>
        <w:t xml:space="preserve"> these data must be interpreted </w:t>
      </w:r>
      <w:r w:rsidR="00931920">
        <w:rPr>
          <w:rFonts w:cs="Times New Roman"/>
          <w:szCs w:val="20"/>
        </w:rPr>
        <w:t>in as unbiased a manner as possible</w:t>
      </w:r>
      <w:r>
        <w:rPr>
          <w:rFonts w:cs="Times New Roman"/>
          <w:szCs w:val="20"/>
        </w:rPr>
        <w:t xml:space="preserve"> in order to prevent </w:t>
      </w:r>
      <w:r w:rsidR="002E5718">
        <w:rPr>
          <w:rFonts w:cs="Times New Roman"/>
          <w:szCs w:val="20"/>
        </w:rPr>
        <w:t>overestimation of</w:t>
      </w:r>
      <w:r>
        <w:rPr>
          <w:rFonts w:cs="Times New Roman"/>
          <w:szCs w:val="20"/>
        </w:rPr>
        <w:t xml:space="preserve"> </w:t>
      </w:r>
      <w:r w:rsidR="00931920">
        <w:rPr>
          <w:rFonts w:cs="Times New Roman"/>
          <w:szCs w:val="20"/>
        </w:rPr>
        <w:t xml:space="preserve">the extent of </w:t>
      </w:r>
      <w:r>
        <w:rPr>
          <w:rFonts w:cs="Times New Roman"/>
          <w:szCs w:val="20"/>
        </w:rPr>
        <w:t>East-West mixing</w:t>
      </w:r>
      <w:r w:rsidR="002E5718">
        <w:rPr>
          <w:rFonts w:cs="Times New Roman"/>
          <w:szCs w:val="20"/>
        </w:rPr>
        <w:t xml:space="preserve"> </w:t>
      </w:r>
      <w:r w:rsidR="00931920">
        <w:rPr>
          <w:rFonts w:cs="Times New Roman"/>
          <w:szCs w:val="20"/>
        </w:rPr>
        <w:t xml:space="preserve">which leads to </w:t>
      </w:r>
      <w:r w:rsidR="002E5718">
        <w:rPr>
          <w:rFonts w:cs="Times New Roman"/>
          <w:szCs w:val="20"/>
        </w:rPr>
        <w:t>an overestimation of Western stock size</w:t>
      </w:r>
      <w:r w:rsidR="00931920">
        <w:rPr>
          <w:rFonts w:cs="Times New Roman"/>
          <w:szCs w:val="20"/>
        </w:rPr>
        <w:t xml:space="preserve"> because of the imbalance </w:t>
      </w:r>
      <w:r w:rsidR="00D0320B">
        <w:rPr>
          <w:rFonts w:cs="Times New Roman"/>
          <w:szCs w:val="20"/>
        </w:rPr>
        <w:t>between</w:t>
      </w:r>
      <w:r w:rsidR="00931920">
        <w:rPr>
          <w:rFonts w:cs="Times New Roman"/>
          <w:szCs w:val="20"/>
        </w:rPr>
        <w:t xml:space="preserve"> the sizes of the two stocks</w:t>
      </w:r>
      <w:r>
        <w:rPr>
          <w:rFonts w:cs="Times New Roman"/>
          <w:szCs w:val="20"/>
        </w:rPr>
        <w:t xml:space="preserve">. Here we provide a data summary of the </w:t>
      </w:r>
      <w:r w:rsidR="00892735">
        <w:rPr>
          <w:rFonts w:cs="Times New Roman"/>
          <w:szCs w:val="20"/>
        </w:rPr>
        <w:t xml:space="preserve">distribution of </w:t>
      </w:r>
      <w:r>
        <w:rPr>
          <w:rFonts w:cs="Times New Roman"/>
          <w:szCs w:val="20"/>
        </w:rPr>
        <w:t>current genetics and otolith mic</w:t>
      </w:r>
      <w:r w:rsidR="002E5718">
        <w:rPr>
          <w:rFonts w:cs="Times New Roman"/>
          <w:szCs w:val="20"/>
        </w:rPr>
        <w:t>rochemistry data</w:t>
      </w:r>
      <w:r w:rsidR="008939BD">
        <w:rPr>
          <w:rFonts w:cs="Times New Roman"/>
          <w:szCs w:val="20"/>
        </w:rPr>
        <w:t>,</w:t>
      </w:r>
      <w:r w:rsidR="002E5718">
        <w:rPr>
          <w:rFonts w:cs="Times New Roman"/>
          <w:szCs w:val="20"/>
        </w:rPr>
        <w:t xml:space="preserve"> and identify an</w:t>
      </w:r>
      <w:r>
        <w:rPr>
          <w:rFonts w:cs="Times New Roman"/>
          <w:szCs w:val="20"/>
        </w:rPr>
        <w:t xml:space="preserve"> approach</w:t>
      </w:r>
      <w:r w:rsidR="002E5718">
        <w:rPr>
          <w:rFonts w:cs="Times New Roman"/>
          <w:szCs w:val="20"/>
        </w:rPr>
        <w:t xml:space="preserve"> using mixture distributions to</w:t>
      </w:r>
      <w:r>
        <w:rPr>
          <w:rFonts w:cs="Times New Roman"/>
          <w:szCs w:val="20"/>
        </w:rPr>
        <w:t xml:space="preserve"> deriv</w:t>
      </w:r>
      <w:r w:rsidR="002E5718">
        <w:rPr>
          <w:rFonts w:cs="Times New Roman"/>
          <w:szCs w:val="20"/>
        </w:rPr>
        <w:t>e</w:t>
      </w:r>
      <w:r>
        <w:rPr>
          <w:rFonts w:cs="Times New Roman"/>
          <w:szCs w:val="20"/>
        </w:rPr>
        <w:t xml:space="preserve"> </w:t>
      </w:r>
      <w:r w:rsidR="00931920">
        <w:rPr>
          <w:rFonts w:cs="Times New Roman"/>
          <w:szCs w:val="20"/>
        </w:rPr>
        <w:t>less biased</w:t>
      </w:r>
      <w:r>
        <w:rPr>
          <w:rFonts w:cs="Times New Roman"/>
          <w:szCs w:val="20"/>
        </w:rPr>
        <w:t xml:space="preserve"> </w:t>
      </w:r>
      <w:r w:rsidR="00931920">
        <w:rPr>
          <w:rFonts w:cs="Times New Roman"/>
          <w:szCs w:val="20"/>
        </w:rPr>
        <w:t xml:space="preserve">inferences </w:t>
      </w:r>
      <w:r w:rsidR="00D0320B">
        <w:rPr>
          <w:rFonts w:cs="Times New Roman"/>
          <w:szCs w:val="20"/>
        </w:rPr>
        <w:t xml:space="preserve">(compared to approaches suggested earlier) </w:t>
      </w:r>
      <w:r w:rsidR="00931920">
        <w:rPr>
          <w:rFonts w:cs="Times New Roman"/>
          <w:szCs w:val="20"/>
        </w:rPr>
        <w:t xml:space="preserve">from </w:t>
      </w:r>
      <w:r>
        <w:rPr>
          <w:rFonts w:cs="Times New Roman"/>
          <w:szCs w:val="20"/>
        </w:rPr>
        <w:t xml:space="preserve">stock of origin data for conditioning operating models. </w:t>
      </w:r>
      <w:r w:rsidR="002E5718">
        <w:rPr>
          <w:rFonts w:cs="Times New Roman"/>
          <w:szCs w:val="20"/>
        </w:rPr>
        <w:t xml:space="preserve">The estimated mixture distributions provide a reasonable fit to assignment data and remove fewer raw data than approaches that discard data based on </w:t>
      </w:r>
      <w:r w:rsidR="00931920">
        <w:rPr>
          <w:rFonts w:cs="Times New Roman"/>
          <w:szCs w:val="20"/>
        </w:rPr>
        <w:t xml:space="preserve">somewhat </w:t>
      </w:r>
      <w:r w:rsidR="002E5718" w:rsidRPr="008939BD">
        <w:rPr>
          <w:rFonts w:cs="Times New Roman"/>
          <w:i/>
          <w:szCs w:val="20"/>
        </w:rPr>
        <w:t>ad-hoc</w:t>
      </w:r>
      <w:r w:rsidR="002E5718">
        <w:rPr>
          <w:rFonts w:cs="Times New Roman"/>
          <w:szCs w:val="20"/>
        </w:rPr>
        <w:t xml:space="preserve"> rules. </w:t>
      </w:r>
      <w:r w:rsidR="004C4D88">
        <w:rPr>
          <w:rFonts w:cs="Times New Roman"/>
          <w:szCs w:val="20"/>
        </w:rPr>
        <w:t xml:space="preserve">It is recommended that operating models </w:t>
      </w:r>
      <w:r w:rsidR="00931920">
        <w:rPr>
          <w:rFonts w:cs="Times New Roman"/>
          <w:szCs w:val="20"/>
        </w:rPr>
        <w:t>be modified</w:t>
      </w:r>
      <w:r w:rsidR="004C4D88">
        <w:rPr>
          <w:rFonts w:cs="Times New Roman"/>
          <w:szCs w:val="20"/>
        </w:rPr>
        <w:t xml:space="preserve"> to</w:t>
      </w:r>
      <w:r w:rsidR="00931920">
        <w:rPr>
          <w:rFonts w:cs="Times New Roman"/>
          <w:szCs w:val="20"/>
        </w:rPr>
        <w:t xml:space="preserve"> be based on</w:t>
      </w:r>
      <w:r w:rsidR="004C4D88">
        <w:rPr>
          <w:rFonts w:cs="Times New Roman"/>
          <w:szCs w:val="20"/>
        </w:rPr>
        <w:t xml:space="preserve"> a simpler 7-area model. </w:t>
      </w:r>
    </w:p>
    <w:p w14:paraId="2A52D68F" w14:textId="77777777" w:rsidR="00F17330" w:rsidRPr="002D2024" w:rsidRDefault="00F17330" w:rsidP="002D2024">
      <w:pPr>
        <w:ind w:left="709" w:right="663"/>
        <w:jc w:val="both"/>
        <w:rPr>
          <w:rFonts w:cs="Times New Roman"/>
          <w:i/>
          <w:szCs w:val="20"/>
        </w:rPr>
      </w:pPr>
    </w:p>
    <w:p w14:paraId="46FDE9D7" w14:textId="77777777" w:rsidR="00532620" w:rsidRPr="002D2024" w:rsidRDefault="00532620" w:rsidP="002D2024">
      <w:pPr>
        <w:jc w:val="center"/>
        <w:rPr>
          <w:rFonts w:cs="Times New Roman"/>
          <w:i/>
          <w:szCs w:val="20"/>
        </w:rPr>
      </w:pPr>
      <w:r w:rsidRPr="002D2024">
        <w:rPr>
          <w:rFonts w:cs="Times New Roman"/>
          <w:i/>
          <w:szCs w:val="20"/>
        </w:rPr>
        <w:t>KEYWORDS</w:t>
      </w:r>
    </w:p>
    <w:p w14:paraId="1600B84C" w14:textId="77777777" w:rsidR="009A19DF" w:rsidRPr="002D2024" w:rsidRDefault="009A19DF" w:rsidP="002D2024">
      <w:pPr>
        <w:jc w:val="center"/>
        <w:rPr>
          <w:rFonts w:cs="Times New Roman"/>
          <w:i/>
          <w:szCs w:val="20"/>
        </w:rPr>
      </w:pPr>
    </w:p>
    <w:p w14:paraId="1CF64CEB" w14:textId="6C56D755" w:rsidR="00532620" w:rsidRPr="002D2024" w:rsidRDefault="005E667E" w:rsidP="005E667E">
      <w:pPr>
        <w:ind w:left="709" w:right="663"/>
        <w:jc w:val="center"/>
        <w:rPr>
          <w:rFonts w:cs="Times New Roman"/>
          <w:i/>
          <w:szCs w:val="20"/>
        </w:rPr>
      </w:pPr>
      <w:r>
        <w:rPr>
          <w:rFonts w:cs="Times New Roman"/>
          <w:i/>
          <w:szCs w:val="20"/>
        </w:rPr>
        <w:t>Otolith microchemist</w:t>
      </w:r>
      <w:r w:rsidR="000D4BAC">
        <w:rPr>
          <w:rFonts w:cs="Times New Roman"/>
          <w:i/>
          <w:szCs w:val="20"/>
        </w:rPr>
        <w:t>r</w:t>
      </w:r>
      <w:r>
        <w:rPr>
          <w:rFonts w:cs="Times New Roman"/>
          <w:i/>
          <w:szCs w:val="20"/>
        </w:rPr>
        <w:t xml:space="preserve">y, genetics, </w:t>
      </w:r>
      <w:r w:rsidR="0058379D" w:rsidRPr="002D2024">
        <w:rPr>
          <w:rFonts w:cs="Times New Roman"/>
          <w:i/>
          <w:szCs w:val="20"/>
        </w:rPr>
        <w:t xml:space="preserve">bluefin tuna, operating model, </w:t>
      </w:r>
      <w:r>
        <w:rPr>
          <w:rFonts w:cs="Times New Roman"/>
          <w:i/>
          <w:szCs w:val="20"/>
        </w:rPr>
        <w:t>stock mixing</w:t>
      </w:r>
    </w:p>
    <w:p w14:paraId="2FF181FA" w14:textId="77777777" w:rsidR="00532620" w:rsidRPr="002D2024" w:rsidRDefault="00532620" w:rsidP="002D2024">
      <w:pPr>
        <w:jc w:val="center"/>
        <w:rPr>
          <w:rFonts w:cs="Times New Roman"/>
          <w:i/>
          <w:szCs w:val="20"/>
        </w:rPr>
      </w:pPr>
    </w:p>
    <w:p w14:paraId="5F142CE9" w14:textId="77777777" w:rsidR="00532620" w:rsidRPr="002D2024" w:rsidRDefault="00532620" w:rsidP="002D2024">
      <w:pPr>
        <w:jc w:val="center"/>
        <w:rPr>
          <w:rFonts w:cs="Times New Roman"/>
          <w:i/>
          <w:szCs w:val="20"/>
        </w:rPr>
      </w:pPr>
    </w:p>
    <w:p w14:paraId="240BBF5D" w14:textId="77777777" w:rsidR="00532620" w:rsidRPr="002D2024" w:rsidRDefault="00532620" w:rsidP="002D2024">
      <w:pPr>
        <w:jc w:val="center"/>
        <w:rPr>
          <w:rFonts w:cs="Times New Roman"/>
          <w:i/>
          <w:szCs w:val="20"/>
        </w:rPr>
      </w:pPr>
    </w:p>
    <w:p w14:paraId="71B908A8" w14:textId="77777777" w:rsidR="00532620" w:rsidRPr="002D2024" w:rsidRDefault="00532620" w:rsidP="002D2024">
      <w:pPr>
        <w:jc w:val="center"/>
        <w:rPr>
          <w:rFonts w:cs="Times New Roman"/>
          <w:i/>
          <w:szCs w:val="20"/>
        </w:rPr>
      </w:pPr>
    </w:p>
    <w:p w14:paraId="628E05DF" w14:textId="77777777" w:rsidR="00532620" w:rsidRPr="002D2024" w:rsidRDefault="00532620" w:rsidP="002D2024">
      <w:pPr>
        <w:jc w:val="center"/>
        <w:rPr>
          <w:rFonts w:cs="Times New Roman"/>
          <w:i/>
          <w:szCs w:val="20"/>
        </w:rPr>
      </w:pPr>
    </w:p>
    <w:p w14:paraId="7D842B20" w14:textId="77777777" w:rsidR="00532620" w:rsidRPr="002D2024" w:rsidRDefault="00532620" w:rsidP="002D2024">
      <w:pPr>
        <w:jc w:val="center"/>
        <w:rPr>
          <w:rFonts w:cs="Times New Roman"/>
          <w:i/>
          <w:szCs w:val="20"/>
        </w:rPr>
      </w:pPr>
    </w:p>
    <w:p w14:paraId="52777923" w14:textId="77777777" w:rsidR="00532620" w:rsidRPr="002D2024" w:rsidRDefault="00532620" w:rsidP="002D2024">
      <w:pPr>
        <w:jc w:val="center"/>
        <w:rPr>
          <w:rFonts w:cs="Times New Roman"/>
          <w:i/>
          <w:szCs w:val="20"/>
        </w:rPr>
      </w:pPr>
    </w:p>
    <w:p w14:paraId="4C6F2023" w14:textId="77777777" w:rsidR="00532620" w:rsidRPr="002D2024" w:rsidRDefault="00532620" w:rsidP="002D2024">
      <w:pPr>
        <w:jc w:val="center"/>
        <w:rPr>
          <w:rFonts w:cs="Times New Roman"/>
          <w:i/>
          <w:szCs w:val="20"/>
        </w:rPr>
      </w:pPr>
    </w:p>
    <w:p w14:paraId="5E30B22F" w14:textId="77777777" w:rsidR="00532620" w:rsidRPr="002D2024" w:rsidRDefault="00532620" w:rsidP="002D2024">
      <w:pPr>
        <w:jc w:val="center"/>
        <w:rPr>
          <w:rFonts w:cs="Times New Roman"/>
          <w:i/>
          <w:szCs w:val="20"/>
        </w:rPr>
      </w:pPr>
    </w:p>
    <w:p w14:paraId="0D309C41" w14:textId="77777777" w:rsidR="00532620" w:rsidRPr="002D2024" w:rsidRDefault="00532620" w:rsidP="002D2024">
      <w:pPr>
        <w:rPr>
          <w:rFonts w:cs="Times New Roman"/>
          <w:i/>
          <w:szCs w:val="20"/>
        </w:rPr>
      </w:pPr>
      <w:r w:rsidRPr="002D2024">
        <w:rPr>
          <w:rFonts w:cs="Times New Roman"/>
          <w:i/>
          <w:szCs w:val="20"/>
        </w:rPr>
        <w:br w:type="page"/>
      </w:r>
    </w:p>
    <w:p w14:paraId="1CE721AA" w14:textId="77777777" w:rsidR="00532620" w:rsidRPr="002D2024" w:rsidRDefault="004756EC" w:rsidP="002D2024">
      <w:pPr>
        <w:pStyle w:val="Heading1"/>
        <w:rPr>
          <w:szCs w:val="20"/>
        </w:rPr>
      </w:pPr>
      <w:r w:rsidRPr="002D2024">
        <w:rPr>
          <w:szCs w:val="20"/>
        </w:rPr>
        <w:lastRenderedPageBreak/>
        <w:t>Introduction</w:t>
      </w:r>
    </w:p>
    <w:p w14:paraId="6A032523" w14:textId="77777777" w:rsidR="004756EC" w:rsidRPr="002D2024" w:rsidRDefault="004756EC" w:rsidP="002D2024">
      <w:pPr>
        <w:rPr>
          <w:szCs w:val="20"/>
        </w:rPr>
      </w:pPr>
    </w:p>
    <w:p w14:paraId="6133EF7C" w14:textId="6E72A7EC" w:rsidR="00660626" w:rsidRDefault="00CD3F42" w:rsidP="007917FD">
      <w:pPr>
        <w:jc w:val="both"/>
        <w:rPr>
          <w:szCs w:val="20"/>
        </w:rPr>
      </w:pPr>
      <w:r>
        <w:rPr>
          <w:szCs w:val="20"/>
        </w:rPr>
        <w:t xml:space="preserve">When fitting multi-stock models to data, </w:t>
      </w:r>
      <w:r w:rsidR="00C01DF3">
        <w:rPr>
          <w:szCs w:val="20"/>
        </w:rPr>
        <w:t xml:space="preserve">the stock </w:t>
      </w:r>
      <w:r>
        <w:rPr>
          <w:szCs w:val="20"/>
        </w:rPr>
        <w:t xml:space="preserve">composition </w:t>
      </w:r>
      <w:r w:rsidR="00C01DF3">
        <w:rPr>
          <w:szCs w:val="20"/>
        </w:rPr>
        <w:t xml:space="preserve">of catches </w:t>
      </w:r>
      <w:r w:rsidR="001637E4">
        <w:rPr>
          <w:szCs w:val="20"/>
        </w:rPr>
        <w:t>(stock of origin</w:t>
      </w:r>
      <w:r w:rsidR="00892735">
        <w:rPr>
          <w:szCs w:val="20"/>
        </w:rPr>
        <w:t xml:space="preserve">) </w:t>
      </w:r>
      <w:r w:rsidR="00C85272">
        <w:rPr>
          <w:szCs w:val="20"/>
        </w:rPr>
        <w:t>are</w:t>
      </w:r>
      <w:r w:rsidR="001637E4">
        <w:rPr>
          <w:szCs w:val="20"/>
        </w:rPr>
        <w:t xml:space="preserve"> among</w:t>
      </w:r>
      <w:r>
        <w:rPr>
          <w:szCs w:val="20"/>
        </w:rPr>
        <w:t xml:space="preserve"> the most informative </w:t>
      </w:r>
      <w:r w:rsidR="00C01DF3">
        <w:rPr>
          <w:szCs w:val="20"/>
        </w:rPr>
        <w:t xml:space="preserve">data </w:t>
      </w:r>
      <w:r>
        <w:rPr>
          <w:szCs w:val="20"/>
        </w:rPr>
        <w:t>regarding relative size of the stock</w:t>
      </w:r>
      <w:r w:rsidR="00C01DF3">
        <w:rPr>
          <w:szCs w:val="20"/>
        </w:rPr>
        <w:t>s</w:t>
      </w:r>
      <w:r>
        <w:rPr>
          <w:szCs w:val="20"/>
        </w:rPr>
        <w:t xml:space="preserve"> and the extent of </w:t>
      </w:r>
      <w:r w:rsidR="00931920">
        <w:rPr>
          <w:szCs w:val="20"/>
        </w:rPr>
        <w:t xml:space="preserve">their </w:t>
      </w:r>
      <w:r>
        <w:rPr>
          <w:szCs w:val="20"/>
        </w:rPr>
        <w:t>spatial mixing</w:t>
      </w:r>
      <w:r w:rsidR="00892735">
        <w:rPr>
          <w:szCs w:val="20"/>
        </w:rPr>
        <w:t xml:space="preserve"> (SCRS/2015/180</w:t>
      </w:r>
      <w:r w:rsidR="00C85272">
        <w:rPr>
          <w:szCs w:val="20"/>
        </w:rPr>
        <w:t>)</w:t>
      </w:r>
      <w:r>
        <w:rPr>
          <w:szCs w:val="20"/>
        </w:rPr>
        <w:t>. The principal source</w:t>
      </w:r>
      <w:r w:rsidR="00C85272">
        <w:rPr>
          <w:szCs w:val="20"/>
        </w:rPr>
        <w:t>s</w:t>
      </w:r>
      <w:r>
        <w:rPr>
          <w:szCs w:val="20"/>
        </w:rPr>
        <w:t xml:space="preserve"> of these data </w:t>
      </w:r>
      <w:r w:rsidR="00865253">
        <w:rPr>
          <w:szCs w:val="20"/>
        </w:rPr>
        <w:t xml:space="preserve">for Atlantic Bluefin Tuna </w:t>
      </w:r>
      <w:r>
        <w:rPr>
          <w:szCs w:val="20"/>
        </w:rPr>
        <w:t>are otolith microchemist</w:t>
      </w:r>
      <w:r w:rsidR="00F62EF2">
        <w:rPr>
          <w:szCs w:val="20"/>
        </w:rPr>
        <w:t>r</w:t>
      </w:r>
      <w:r>
        <w:rPr>
          <w:szCs w:val="20"/>
        </w:rPr>
        <w:t>y</w:t>
      </w:r>
      <w:r w:rsidR="00C85272">
        <w:rPr>
          <w:szCs w:val="20"/>
        </w:rPr>
        <w:t xml:space="preserve"> (</w:t>
      </w:r>
      <w:proofErr w:type="spellStart"/>
      <w:r w:rsidR="00660626">
        <w:rPr>
          <w:szCs w:val="20"/>
        </w:rPr>
        <w:t>Fraile</w:t>
      </w:r>
      <w:proofErr w:type="spellEnd"/>
      <w:r w:rsidR="00660626">
        <w:rPr>
          <w:szCs w:val="20"/>
        </w:rPr>
        <w:t xml:space="preserve"> et al. 2014</w:t>
      </w:r>
      <w:r w:rsidR="00C85272">
        <w:rPr>
          <w:szCs w:val="20"/>
        </w:rPr>
        <w:t>)</w:t>
      </w:r>
      <w:r>
        <w:rPr>
          <w:szCs w:val="20"/>
        </w:rPr>
        <w:t xml:space="preserve"> and genetics analysis</w:t>
      </w:r>
      <w:r w:rsidR="00C85272">
        <w:rPr>
          <w:szCs w:val="20"/>
        </w:rPr>
        <w:t xml:space="preserve"> (</w:t>
      </w:r>
      <w:r w:rsidR="00660626">
        <w:rPr>
          <w:szCs w:val="20"/>
        </w:rPr>
        <w:t>Puncher et al. 2017</w:t>
      </w:r>
      <w:r w:rsidR="00C85272">
        <w:rPr>
          <w:szCs w:val="20"/>
        </w:rPr>
        <w:t>)</w:t>
      </w:r>
      <w:r>
        <w:rPr>
          <w:szCs w:val="20"/>
        </w:rPr>
        <w:t xml:space="preserve">. </w:t>
      </w:r>
      <w:r w:rsidR="00660626">
        <w:rPr>
          <w:szCs w:val="20"/>
        </w:rPr>
        <w:t xml:space="preserve">The </w:t>
      </w:r>
      <w:r w:rsidR="001637E4">
        <w:rPr>
          <w:szCs w:val="20"/>
        </w:rPr>
        <w:t>chemistry and genetics</w:t>
      </w:r>
      <w:r w:rsidR="00AE0F7C">
        <w:rPr>
          <w:szCs w:val="20"/>
        </w:rPr>
        <w:t xml:space="preserve"> </w:t>
      </w:r>
      <w:r w:rsidR="00660626">
        <w:rPr>
          <w:szCs w:val="20"/>
        </w:rPr>
        <w:t xml:space="preserve">data </w:t>
      </w:r>
      <w:r w:rsidR="00AE0F7C">
        <w:rPr>
          <w:szCs w:val="20"/>
        </w:rPr>
        <w:t xml:space="preserve">were collected by </w:t>
      </w:r>
      <w:r w:rsidR="001637E4">
        <w:rPr>
          <w:szCs w:val="20"/>
        </w:rPr>
        <w:t>several</w:t>
      </w:r>
      <w:r w:rsidR="00660626">
        <w:rPr>
          <w:szCs w:val="20"/>
        </w:rPr>
        <w:t xml:space="preserve"> research institutes</w:t>
      </w:r>
      <w:r w:rsidR="00AE0F7C">
        <w:rPr>
          <w:szCs w:val="20"/>
        </w:rPr>
        <w:t xml:space="preserve"> that use varying approaches to process the data into a </w:t>
      </w:r>
      <w:r w:rsidR="00660626">
        <w:rPr>
          <w:szCs w:val="20"/>
        </w:rPr>
        <w:t xml:space="preserve">single </w:t>
      </w:r>
      <w:r w:rsidR="001637E4">
        <w:rPr>
          <w:szCs w:val="20"/>
        </w:rPr>
        <w:t xml:space="preserve">percentage </w:t>
      </w:r>
      <w:r w:rsidR="00644A88">
        <w:rPr>
          <w:szCs w:val="20"/>
        </w:rPr>
        <w:t>assignment</w:t>
      </w:r>
      <w:r w:rsidR="001637E4">
        <w:rPr>
          <w:szCs w:val="20"/>
        </w:rPr>
        <w:t xml:space="preserve"> score</w:t>
      </w:r>
      <w:r w:rsidR="00AE0F7C">
        <w:rPr>
          <w:szCs w:val="20"/>
        </w:rPr>
        <w:t xml:space="preserve"> (to </w:t>
      </w:r>
      <w:r w:rsidR="00865253">
        <w:rPr>
          <w:szCs w:val="20"/>
        </w:rPr>
        <w:t xml:space="preserve">belonging to </w:t>
      </w:r>
      <w:r w:rsidR="00AE0F7C">
        <w:rPr>
          <w:szCs w:val="20"/>
        </w:rPr>
        <w:t xml:space="preserve">the </w:t>
      </w:r>
      <w:r w:rsidR="00D0320B">
        <w:rPr>
          <w:szCs w:val="20"/>
        </w:rPr>
        <w:t>E</w:t>
      </w:r>
      <w:r w:rsidR="00AE0F7C">
        <w:rPr>
          <w:szCs w:val="20"/>
        </w:rPr>
        <w:t xml:space="preserve">astern stock) </w:t>
      </w:r>
      <w:r w:rsidR="00660626">
        <w:rPr>
          <w:szCs w:val="20"/>
        </w:rPr>
        <w:t xml:space="preserve">per </w:t>
      </w:r>
      <w:r w:rsidR="00AE0F7C">
        <w:rPr>
          <w:szCs w:val="20"/>
        </w:rPr>
        <w:t xml:space="preserve">fish (e.g. </w:t>
      </w:r>
      <w:r w:rsidR="00644A88">
        <w:rPr>
          <w:szCs w:val="20"/>
        </w:rPr>
        <w:t>random forests</w:t>
      </w:r>
      <w:r w:rsidR="00AE0F7C">
        <w:rPr>
          <w:szCs w:val="20"/>
        </w:rPr>
        <w:t xml:space="preserve">, </w:t>
      </w:r>
      <w:r w:rsidR="001637E4">
        <w:rPr>
          <w:szCs w:val="20"/>
        </w:rPr>
        <w:t xml:space="preserve">SCRS/2017/021; </w:t>
      </w:r>
      <w:r w:rsidR="00AE0F7C">
        <w:rPr>
          <w:szCs w:val="20"/>
        </w:rPr>
        <w:t xml:space="preserve">Bayesian clustering, </w:t>
      </w:r>
      <w:r w:rsidR="00644A88">
        <w:rPr>
          <w:szCs w:val="20"/>
        </w:rPr>
        <w:t>Pritchard et al. 2000)</w:t>
      </w:r>
      <w:r w:rsidR="00AE0F7C">
        <w:rPr>
          <w:szCs w:val="20"/>
        </w:rPr>
        <w:t xml:space="preserve">. </w:t>
      </w:r>
      <w:r w:rsidR="001637E4">
        <w:rPr>
          <w:szCs w:val="20"/>
        </w:rPr>
        <w:t xml:space="preserve">The exact interpretation of these assignment scores is not </w:t>
      </w:r>
      <w:r w:rsidR="00931920">
        <w:rPr>
          <w:szCs w:val="20"/>
        </w:rPr>
        <w:t xml:space="preserve">always completely </w:t>
      </w:r>
      <w:r w:rsidR="001637E4">
        <w:rPr>
          <w:szCs w:val="20"/>
        </w:rPr>
        <w:t xml:space="preserve">clear, </w:t>
      </w:r>
      <w:r w:rsidR="00931920">
        <w:rPr>
          <w:szCs w:val="20"/>
        </w:rPr>
        <w:t>though</w:t>
      </w:r>
      <w:r w:rsidR="001637E4">
        <w:rPr>
          <w:szCs w:val="20"/>
        </w:rPr>
        <w:t xml:space="preserve"> </w:t>
      </w:r>
      <w:r w:rsidR="00AE0F7C">
        <w:rPr>
          <w:szCs w:val="20"/>
        </w:rPr>
        <w:t xml:space="preserve">Puncher et al. </w:t>
      </w:r>
      <w:r w:rsidR="001637E4">
        <w:rPr>
          <w:szCs w:val="20"/>
        </w:rPr>
        <w:t>(2017) use an arbitrary 70% cut-</w:t>
      </w:r>
      <w:r w:rsidR="00AE0F7C">
        <w:rPr>
          <w:szCs w:val="20"/>
        </w:rPr>
        <w:t>off below which individuals are considered ‘poorly assigned’</w:t>
      </w:r>
      <w:r w:rsidR="001637E4">
        <w:rPr>
          <w:szCs w:val="20"/>
        </w:rPr>
        <w:t xml:space="preserve"> (i.e. not of Eastern origin)</w:t>
      </w:r>
      <w:r w:rsidR="00AE0F7C">
        <w:rPr>
          <w:szCs w:val="20"/>
        </w:rPr>
        <w:t xml:space="preserve">. </w:t>
      </w:r>
      <w:r w:rsidR="002E5718">
        <w:rPr>
          <w:szCs w:val="20"/>
        </w:rPr>
        <w:t>In th</w:t>
      </w:r>
      <w:r w:rsidR="00865253">
        <w:rPr>
          <w:szCs w:val="20"/>
        </w:rPr>
        <w:t>e</w:t>
      </w:r>
      <w:r w:rsidR="002E5718">
        <w:rPr>
          <w:szCs w:val="20"/>
        </w:rPr>
        <w:t xml:space="preserve"> analysis </w:t>
      </w:r>
      <w:r w:rsidR="00865253">
        <w:rPr>
          <w:szCs w:val="20"/>
        </w:rPr>
        <w:t xml:space="preserve">presented here we </w:t>
      </w:r>
      <w:r w:rsidR="002E5718">
        <w:rPr>
          <w:szCs w:val="20"/>
        </w:rPr>
        <w:t xml:space="preserve">compare our results to a version of </w:t>
      </w:r>
      <w:r w:rsidR="00865253">
        <w:rPr>
          <w:szCs w:val="20"/>
        </w:rPr>
        <w:t xml:space="preserve">Puncher et al.’s (2017) </w:t>
      </w:r>
      <w:r w:rsidR="002E5718">
        <w:rPr>
          <w:szCs w:val="20"/>
        </w:rPr>
        <w:t>approach that discards all assignment</w:t>
      </w:r>
      <w:r w:rsidR="00931920">
        <w:rPr>
          <w:szCs w:val="20"/>
        </w:rPr>
        <w:t>s</w:t>
      </w:r>
      <w:r w:rsidR="002E5718">
        <w:rPr>
          <w:szCs w:val="20"/>
        </w:rPr>
        <w:t xml:space="preserve"> in the interval [30%, 70%] (</w:t>
      </w:r>
      <w:r w:rsidR="001637E4">
        <w:rPr>
          <w:szCs w:val="20"/>
        </w:rPr>
        <w:t>‘</w:t>
      </w:r>
      <w:r w:rsidR="002E5718">
        <w:rPr>
          <w:szCs w:val="20"/>
        </w:rPr>
        <w:t>30-70 cut</w:t>
      </w:r>
      <w:r w:rsidR="001637E4">
        <w:rPr>
          <w:szCs w:val="20"/>
        </w:rPr>
        <w:t>-</w:t>
      </w:r>
      <w:r w:rsidR="002E5718">
        <w:rPr>
          <w:szCs w:val="20"/>
        </w:rPr>
        <w:t>off’</w:t>
      </w:r>
      <w:r w:rsidR="00865253">
        <w:rPr>
          <w:szCs w:val="20"/>
        </w:rPr>
        <w:t>; assignments above 70% are considered Eastern origin and those below 30% are considered Western origin</w:t>
      </w:r>
      <w:r w:rsidR="00C37509">
        <w:rPr>
          <w:szCs w:val="20"/>
        </w:rPr>
        <w:t>, those between 30-70 are not used</w:t>
      </w:r>
      <w:r w:rsidR="002E5718">
        <w:rPr>
          <w:szCs w:val="20"/>
        </w:rPr>
        <w:t xml:space="preserve">). </w:t>
      </w:r>
    </w:p>
    <w:p w14:paraId="685FD56F" w14:textId="3F8BE6E7" w:rsidR="00AE0F7C" w:rsidRDefault="00AE0F7C" w:rsidP="007917FD">
      <w:pPr>
        <w:jc w:val="both"/>
        <w:rPr>
          <w:szCs w:val="20"/>
        </w:rPr>
      </w:pPr>
    </w:p>
    <w:p w14:paraId="447E369C" w14:textId="1D684D63" w:rsidR="003C27AE" w:rsidRDefault="002E5718" w:rsidP="00892735">
      <w:pPr>
        <w:jc w:val="both"/>
        <w:rPr>
          <w:szCs w:val="20"/>
        </w:rPr>
      </w:pPr>
      <w:r>
        <w:rPr>
          <w:szCs w:val="20"/>
        </w:rPr>
        <w:t>We</w:t>
      </w:r>
      <w:r w:rsidR="00C85272">
        <w:rPr>
          <w:szCs w:val="20"/>
        </w:rPr>
        <w:t xml:space="preserve"> summarize the distribution and coverage of the available stock of origin data</w:t>
      </w:r>
      <w:r w:rsidR="00892735">
        <w:rPr>
          <w:szCs w:val="20"/>
        </w:rPr>
        <w:t xml:space="preserve"> across time and ocean areas (Figure 1)</w:t>
      </w:r>
      <w:r>
        <w:rPr>
          <w:szCs w:val="20"/>
        </w:rPr>
        <w:t xml:space="preserve"> and </w:t>
      </w:r>
      <w:r w:rsidR="00AE0F7C">
        <w:rPr>
          <w:szCs w:val="20"/>
        </w:rPr>
        <w:t xml:space="preserve">highlight two problems associated with the current </w:t>
      </w:r>
      <w:r w:rsidR="00D0320B">
        <w:rPr>
          <w:szCs w:val="20"/>
        </w:rPr>
        <w:t xml:space="preserve">methods to use </w:t>
      </w:r>
      <w:r w:rsidR="00AE0F7C">
        <w:rPr>
          <w:szCs w:val="20"/>
        </w:rPr>
        <w:t xml:space="preserve">assignment scores. </w:t>
      </w:r>
      <w:r w:rsidR="00C37509">
        <w:rPr>
          <w:szCs w:val="20"/>
        </w:rPr>
        <w:t>Firstly,</w:t>
      </w:r>
      <w:r w:rsidR="00AE0F7C">
        <w:rPr>
          <w:szCs w:val="20"/>
        </w:rPr>
        <w:t xml:space="preserve"> that the </w:t>
      </w:r>
      <w:r>
        <w:rPr>
          <w:szCs w:val="20"/>
        </w:rPr>
        <w:t>30-70</w:t>
      </w:r>
      <w:r w:rsidR="00AE0F7C">
        <w:rPr>
          <w:szCs w:val="20"/>
        </w:rPr>
        <w:t xml:space="preserve"> cut-off removes a substantial number of data points. Second</w:t>
      </w:r>
      <w:r w:rsidR="00931920">
        <w:rPr>
          <w:szCs w:val="20"/>
        </w:rPr>
        <w:t>ly</w:t>
      </w:r>
      <w:r w:rsidR="00C37509">
        <w:rPr>
          <w:szCs w:val="20"/>
        </w:rPr>
        <w:t>,</w:t>
      </w:r>
      <w:r w:rsidR="00AE0F7C">
        <w:rPr>
          <w:szCs w:val="20"/>
        </w:rPr>
        <w:t xml:space="preserve"> there is a high degree of uncertainty in the assignment scores even in areas thought to be exclusive to </w:t>
      </w:r>
      <w:r w:rsidR="0058243B">
        <w:rPr>
          <w:szCs w:val="20"/>
        </w:rPr>
        <w:t>E</w:t>
      </w:r>
      <w:r w:rsidR="00AE0F7C">
        <w:rPr>
          <w:szCs w:val="20"/>
        </w:rPr>
        <w:t xml:space="preserve">astern and </w:t>
      </w:r>
      <w:r w:rsidR="0058243B">
        <w:rPr>
          <w:szCs w:val="20"/>
        </w:rPr>
        <w:t>W</w:t>
      </w:r>
      <w:r w:rsidR="00AE0F7C">
        <w:rPr>
          <w:szCs w:val="20"/>
        </w:rPr>
        <w:t>estern stocks</w:t>
      </w:r>
      <w:r w:rsidR="00C37509">
        <w:rPr>
          <w:szCs w:val="20"/>
        </w:rPr>
        <w:t>.</w:t>
      </w:r>
      <w:r w:rsidR="003C27AE">
        <w:rPr>
          <w:szCs w:val="20"/>
        </w:rPr>
        <w:t xml:space="preserve"> </w:t>
      </w:r>
    </w:p>
    <w:p w14:paraId="13E7ED47" w14:textId="77777777" w:rsidR="003C27AE" w:rsidRDefault="003C27AE" w:rsidP="00892735">
      <w:pPr>
        <w:jc w:val="both"/>
        <w:rPr>
          <w:szCs w:val="20"/>
        </w:rPr>
      </w:pPr>
    </w:p>
    <w:p w14:paraId="48CF8E56" w14:textId="0EE79A36" w:rsidR="00CD3F42" w:rsidRDefault="00C85272" w:rsidP="00892735">
      <w:pPr>
        <w:jc w:val="both"/>
        <w:rPr>
          <w:szCs w:val="20"/>
        </w:rPr>
      </w:pPr>
      <w:r>
        <w:rPr>
          <w:szCs w:val="20"/>
        </w:rPr>
        <w:t xml:space="preserve">Given </w:t>
      </w:r>
      <w:r w:rsidR="00D0320B">
        <w:rPr>
          <w:szCs w:val="20"/>
        </w:rPr>
        <w:t xml:space="preserve">this </w:t>
      </w:r>
      <w:r>
        <w:rPr>
          <w:szCs w:val="20"/>
        </w:rPr>
        <w:t xml:space="preserve">uncertainty in </w:t>
      </w:r>
      <w:r w:rsidR="00AE0F7C">
        <w:rPr>
          <w:szCs w:val="20"/>
        </w:rPr>
        <w:t>assignment</w:t>
      </w:r>
      <w:r w:rsidR="00892735">
        <w:rPr>
          <w:szCs w:val="20"/>
        </w:rPr>
        <w:t xml:space="preserve"> </w:t>
      </w:r>
      <w:r w:rsidR="001637E4">
        <w:rPr>
          <w:szCs w:val="20"/>
        </w:rPr>
        <w:t>scores</w:t>
      </w:r>
      <w:r w:rsidR="00D0320B">
        <w:rPr>
          <w:szCs w:val="20"/>
        </w:rPr>
        <w:t>,</w:t>
      </w:r>
      <w:r w:rsidR="001637E4">
        <w:rPr>
          <w:szCs w:val="20"/>
        </w:rPr>
        <w:t xml:space="preserve"> we develop a mixture modelling</w:t>
      </w:r>
      <w:r w:rsidR="00AE0F7C">
        <w:rPr>
          <w:szCs w:val="20"/>
        </w:rPr>
        <w:t xml:space="preserve"> approach </w:t>
      </w:r>
      <w:r>
        <w:rPr>
          <w:szCs w:val="20"/>
        </w:rPr>
        <w:t xml:space="preserve">to </w:t>
      </w:r>
      <w:r w:rsidR="00892735">
        <w:rPr>
          <w:szCs w:val="20"/>
        </w:rPr>
        <w:t xml:space="preserve">interpret these data based on the distribution of </w:t>
      </w:r>
      <w:r w:rsidR="002E5718">
        <w:rPr>
          <w:szCs w:val="20"/>
        </w:rPr>
        <w:t>assignment</w:t>
      </w:r>
      <w:r w:rsidR="00892735">
        <w:rPr>
          <w:szCs w:val="20"/>
        </w:rPr>
        <w:t xml:space="preserve"> data in the stock-specific natal areas of the Gulf of Mexico and Mediterranean. We also </w:t>
      </w:r>
      <w:r w:rsidR="001637E4">
        <w:rPr>
          <w:szCs w:val="20"/>
        </w:rPr>
        <w:t>describe</w:t>
      </w:r>
      <w:r w:rsidR="00892735">
        <w:rPr>
          <w:szCs w:val="20"/>
        </w:rPr>
        <w:t xml:space="preserve"> an appropriate likelihood function </w:t>
      </w:r>
      <w:r w:rsidR="00C261D3">
        <w:rPr>
          <w:szCs w:val="20"/>
        </w:rPr>
        <w:t>for these</w:t>
      </w:r>
      <w:r w:rsidR="00892735">
        <w:rPr>
          <w:szCs w:val="20"/>
        </w:rPr>
        <w:t xml:space="preserve"> processed data </w:t>
      </w:r>
      <w:r w:rsidR="00C261D3">
        <w:rPr>
          <w:szCs w:val="20"/>
        </w:rPr>
        <w:t xml:space="preserve">for </w:t>
      </w:r>
      <w:r w:rsidR="00892735">
        <w:rPr>
          <w:szCs w:val="20"/>
        </w:rPr>
        <w:t>the conditioning of a multi-stock operating model.</w:t>
      </w:r>
      <w:r w:rsidR="00931920">
        <w:rPr>
          <w:szCs w:val="20"/>
        </w:rPr>
        <w:t xml:space="preserve"> Finally</w:t>
      </w:r>
      <w:r w:rsidR="00D0320B">
        <w:rPr>
          <w:szCs w:val="20"/>
        </w:rPr>
        <w:t>,</w:t>
      </w:r>
      <w:r w:rsidR="00931920">
        <w:rPr>
          <w:szCs w:val="20"/>
        </w:rPr>
        <w:t xml:space="preserve"> we list some </w:t>
      </w:r>
      <w:r w:rsidR="0058243B">
        <w:rPr>
          <w:szCs w:val="20"/>
        </w:rPr>
        <w:t>recommended modifications to the Atlantic bluefin tuna Operating model specifications.</w:t>
      </w:r>
    </w:p>
    <w:p w14:paraId="644F3035" w14:textId="77777777" w:rsidR="00AE0F7C" w:rsidRDefault="00AE0F7C" w:rsidP="00892735">
      <w:pPr>
        <w:jc w:val="both"/>
        <w:rPr>
          <w:szCs w:val="20"/>
        </w:rPr>
      </w:pPr>
    </w:p>
    <w:p w14:paraId="31AB8962" w14:textId="55D5A873" w:rsidR="00525426" w:rsidRDefault="00525426" w:rsidP="007917FD">
      <w:pPr>
        <w:jc w:val="both"/>
        <w:rPr>
          <w:szCs w:val="20"/>
        </w:rPr>
      </w:pPr>
    </w:p>
    <w:p w14:paraId="2412FD64" w14:textId="77777777" w:rsidR="00892735" w:rsidRDefault="00892735" w:rsidP="00E42EE8">
      <w:pPr>
        <w:ind w:left="720"/>
        <w:jc w:val="both"/>
        <w:rPr>
          <w:szCs w:val="20"/>
        </w:rPr>
      </w:pPr>
      <w:r>
        <w:rPr>
          <w:noProof/>
          <w:szCs w:val="20"/>
          <w:lang w:val="en-US"/>
        </w:rPr>
        <w:drawing>
          <wp:inline distT="0" distB="0" distL="0" distR="0" wp14:anchorId="2EBFDC26" wp14:editId="31AFF4DD">
            <wp:extent cx="2138266"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5886" cy="1805456"/>
                    </a:xfrm>
                    <a:prstGeom prst="rect">
                      <a:avLst/>
                    </a:prstGeom>
                    <a:noFill/>
                  </pic:spPr>
                </pic:pic>
              </a:graphicData>
            </a:graphic>
          </wp:inline>
        </w:drawing>
      </w:r>
    </w:p>
    <w:p w14:paraId="078FB282" w14:textId="242DE8F4" w:rsidR="00892735" w:rsidRDefault="00892735" w:rsidP="00E42EE8">
      <w:pPr>
        <w:ind w:left="720"/>
        <w:jc w:val="both"/>
        <w:rPr>
          <w:szCs w:val="20"/>
        </w:rPr>
      </w:pPr>
      <w:r w:rsidRPr="00CD3F42">
        <w:rPr>
          <w:b/>
          <w:szCs w:val="20"/>
        </w:rPr>
        <w:t xml:space="preserve">Figure 1. </w:t>
      </w:r>
      <w:r w:rsidRPr="00CD3F42">
        <w:rPr>
          <w:szCs w:val="20"/>
        </w:rPr>
        <w:t xml:space="preserve">The spatial definitions </w:t>
      </w:r>
      <w:r w:rsidR="0058243B">
        <w:rPr>
          <w:szCs w:val="20"/>
        </w:rPr>
        <w:t xml:space="preserve">for the seven areas </w:t>
      </w:r>
      <w:r w:rsidRPr="00CD3F42">
        <w:rPr>
          <w:szCs w:val="20"/>
        </w:rPr>
        <w:t xml:space="preserve">used in this analysis. </w:t>
      </w:r>
    </w:p>
    <w:p w14:paraId="00AC2809" w14:textId="67889618" w:rsidR="000D4BAC" w:rsidRDefault="000D4BAC" w:rsidP="007917FD">
      <w:pPr>
        <w:jc w:val="both"/>
        <w:rPr>
          <w:szCs w:val="20"/>
        </w:rPr>
      </w:pPr>
    </w:p>
    <w:p w14:paraId="7DF2F2BA" w14:textId="77777777" w:rsidR="000D4BAC" w:rsidRPr="002D2024" w:rsidRDefault="000D4BAC" w:rsidP="007917FD">
      <w:pPr>
        <w:jc w:val="both"/>
        <w:rPr>
          <w:szCs w:val="20"/>
        </w:rPr>
      </w:pPr>
    </w:p>
    <w:p w14:paraId="2A0890EC" w14:textId="24805A29" w:rsidR="002F5DBD" w:rsidRPr="002D2024" w:rsidRDefault="003173A4" w:rsidP="007917FD">
      <w:pPr>
        <w:pStyle w:val="Heading1"/>
        <w:jc w:val="both"/>
        <w:rPr>
          <w:szCs w:val="20"/>
        </w:rPr>
      </w:pPr>
      <w:r w:rsidRPr="002D2024">
        <w:rPr>
          <w:szCs w:val="20"/>
        </w:rPr>
        <w:t>Methods</w:t>
      </w:r>
    </w:p>
    <w:p w14:paraId="66A451FA" w14:textId="3205549E" w:rsidR="006A49F3" w:rsidRDefault="006A49F3" w:rsidP="00AC0D32">
      <w:pPr>
        <w:jc w:val="both"/>
        <w:rPr>
          <w:szCs w:val="20"/>
        </w:rPr>
      </w:pPr>
    </w:p>
    <w:p w14:paraId="24BB5851" w14:textId="1B2390B0" w:rsidR="00C85272" w:rsidRDefault="00AE0F7C" w:rsidP="00C85272">
      <w:pPr>
        <w:jc w:val="both"/>
        <w:rPr>
          <w:szCs w:val="20"/>
        </w:rPr>
      </w:pPr>
      <w:r>
        <w:rPr>
          <w:szCs w:val="20"/>
        </w:rPr>
        <w:t>Assignment scores are highly</w:t>
      </w:r>
      <w:r w:rsidR="00C85272">
        <w:rPr>
          <w:szCs w:val="20"/>
        </w:rPr>
        <w:t xml:space="preserve"> </w:t>
      </w:r>
      <w:r>
        <w:rPr>
          <w:szCs w:val="20"/>
        </w:rPr>
        <w:t>variable</w:t>
      </w:r>
      <w:r w:rsidR="00C85272">
        <w:rPr>
          <w:szCs w:val="20"/>
        </w:rPr>
        <w:t xml:space="preserve"> for both otolith chemistry and genetics data (Figure </w:t>
      </w:r>
      <w:r w:rsidR="0036231C">
        <w:rPr>
          <w:szCs w:val="20"/>
        </w:rPr>
        <w:t>2</w:t>
      </w:r>
      <w:r w:rsidR="00C85272">
        <w:rPr>
          <w:szCs w:val="20"/>
        </w:rPr>
        <w:t xml:space="preserve">). For the more numerous otolith microchemistry data, the </w:t>
      </w:r>
      <w:r w:rsidR="00EB54FD">
        <w:rPr>
          <w:szCs w:val="20"/>
        </w:rPr>
        <w:t>median</w:t>
      </w:r>
      <w:r w:rsidR="00C85272">
        <w:rPr>
          <w:szCs w:val="20"/>
        </w:rPr>
        <w:t xml:space="preserve"> </w:t>
      </w:r>
      <w:r w:rsidR="00FE1731">
        <w:rPr>
          <w:szCs w:val="20"/>
        </w:rPr>
        <w:t>assignment</w:t>
      </w:r>
      <w:r w:rsidR="00892735">
        <w:rPr>
          <w:szCs w:val="20"/>
        </w:rPr>
        <w:t xml:space="preserve"> score</w:t>
      </w:r>
      <w:r w:rsidR="00C85272">
        <w:rPr>
          <w:szCs w:val="20"/>
        </w:rPr>
        <w:t xml:space="preserve"> is not as strong for the Mediterranean (thought to be 100% </w:t>
      </w:r>
      <w:r w:rsidR="00D0320B">
        <w:rPr>
          <w:szCs w:val="20"/>
        </w:rPr>
        <w:t>E</w:t>
      </w:r>
      <w:r w:rsidR="00C85272">
        <w:rPr>
          <w:szCs w:val="20"/>
        </w:rPr>
        <w:t>astern origin fish) as it is for South Atlantic and East Atlantic areas (</w:t>
      </w:r>
      <w:r w:rsidR="00C309DA">
        <w:rPr>
          <w:szCs w:val="20"/>
        </w:rPr>
        <w:t>84</w:t>
      </w:r>
      <w:r w:rsidR="00C85272">
        <w:rPr>
          <w:szCs w:val="20"/>
        </w:rPr>
        <w:t xml:space="preserve">% median </w:t>
      </w:r>
      <w:r w:rsidR="00FE1731">
        <w:rPr>
          <w:szCs w:val="20"/>
        </w:rPr>
        <w:t xml:space="preserve">assignment </w:t>
      </w:r>
      <w:r w:rsidR="00C85272">
        <w:rPr>
          <w:szCs w:val="20"/>
        </w:rPr>
        <w:t xml:space="preserve">score compared with </w:t>
      </w:r>
      <w:r w:rsidR="00C309DA">
        <w:rPr>
          <w:szCs w:val="20"/>
        </w:rPr>
        <w:t>87</w:t>
      </w:r>
      <w:r w:rsidR="00C85272">
        <w:rPr>
          <w:szCs w:val="20"/>
        </w:rPr>
        <w:t>% respectively)</w:t>
      </w:r>
      <w:r w:rsidR="00EB54FD">
        <w:rPr>
          <w:szCs w:val="20"/>
        </w:rPr>
        <w:t xml:space="preserve"> (Table 1)</w:t>
      </w:r>
      <w:r w:rsidR="00C85272">
        <w:rPr>
          <w:szCs w:val="20"/>
        </w:rPr>
        <w:t xml:space="preserve">.  </w:t>
      </w:r>
    </w:p>
    <w:p w14:paraId="4237E35B" w14:textId="77777777" w:rsidR="00C85272" w:rsidRDefault="00C85272" w:rsidP="00C85272">
      <w:pPr>
        <w:keepNext/>
        <w:keepLines/>
        <w:jc w:val="both"/>
        <w:rPr>
          <w:szCs w:val="20"/>
        </w:rPr>
      </w:pPr>
    </w:p>
    <w:p w14:paraId="406EF754" w14:textId="3E72612A" w:rsidR="00C85272" w:rsidRDefault="00C85272" w:rsidP="00C85272">
      <w:pPr>
        <w:keepNext/>
        <w:keepLines/>
        <w:jc w:val="both"/>
        <w:rPr>
          <w:szCs w:val="20"/>
        </w:rPr>
      </w:pPr>
      <w:r>
        <w:rPr>
          <w:szCs w:val="20"/>
        </w:rPr>
        <w:t xml:space="preserve">The principal problem with the distributions presented in Figure </w:t>
      </w:r>
      <w:r w:rsidR="0036231C">
        <w:rPr>
          <w:szCs w:val="20"/>
        </w:rPr>
        <w:t>2</w:t>
      </w:r>
      <w:r>
        <w:rPr>
          <w:szCs w:val="20"/>
        </w:rPr>
        <w:t xml:space="preserve"> is that if taken at face value, they i</w:t>
      </w:r>
      <w:r w:rsidR="00D0320B">
        <w:rPr>
          <w:szCs w:val="20"/>
        </w:rPr>
        <w:t>mply</w:t>
      </w:r>
      <w:r>
        <w:rPr>
          <w:szCs w:val="20"/>
        </w:rPr>
        <w:t xml:space="preserve"> a </w:t>
      </w:r>
      <w:r w:rsidR="0036231C">
        <w:rPr>
          <w:szCs w:val="20"/>
        </w:rPr>
        <w:t>greater extent of mixing</w:t>
      </w:r>
      <w:r>
        <w:rPr>
          <w:szCs w:val="20"/>
        </w:rPr>
        <w:t xml:space="preserve"> </w:t>
      </w:r>
      <w:r w:rsidR="00FE1731">
        <w:rPr>
          <w:szCs w:val="20"/>
        </w:rPr>
        <w:t xml:space="preserve">than is </w:t>
      </w:r>
      <w:r>
        <w:rPr>
          <w:szCs w:val="20"/>
        </w:rPr>
        <w:t xml:space="preserve">credible </w:t>
      </w:r>
      <w:r w:rsidR="00FE1731">
        <w:rPr>
          <w:szCs w:val="20"/>
        </w:rPr>
        <w:t>given</w:t>
      </w:r>
      <w:r>
        <w:rPr>
          <w:szCs w:val="20"/>
        </w:rPr>
        <w:t xml:space="preserve"> other sources</w:t>
      </w:r>
      <w:r w:rsidR="001637E4">
        <w:rPr>
          <w:szCs w:val="20"/>
        </w:rPr>
        <w:t xml:space="preserve"> of data</w:t>
      </w:r>
      <w:r>
        <w:rPr>
          <w:szCs w:val="20"/>
        </w:rPr>
        <w:t xml:space="preserve"> such as electronic tagging (for example many </w:t>
      </w:r>
      <w:r w:rsidR="00FE1731">
        <w:rPr>
          <w:szCs w:val="20"/>
        </w:rPr>
        <w:t xml:space="preserve">assignment </w:t>
      </w:r>
      <w:r>
        <w:rPr>
          <w:szCs w:val="20"/>
        </w:rPr>
        <w:t xml:space="preserve">scores &lt;60% in the Mediterranean and </w:t>
      </w:r>
      <w:r w:rsidR="00660626">
        <w:rPr>
          <w:szCs w:val="20"/>
        </w:rPr>
        <w:t>&gt;</w:t>
      </w:r>
      <w:r>
        <w:rPr>
          <w:szCs w:val="20"/>
        </w:rPr>
        <w:t xml:space="preserve">40% in the Gulf of Mexico. </w:t>
      </w:r>
    </w:p>
    <w:p w14:paraId="3DA9CB29" w14:textId="77777777" w:rsidR="00892735" w:rsidRDefault="00892735" w:rsidP="00C85272">
      <w:pPr>
        <w:keepNext/>
        <w:keepLines/>
        <w:jc w:val="both"/>
        <w:rPr>
          <w:szCs w:val="20"/>
        </w:rPr>
      </w:pPr>
    </w:p>
    <w:p w14:paraId="01D67766" w14:textId="0C48FDE1" w:rsidR="00C85272" w:rsidRDefault="00FE1731" w:rsidP="00C85272">
      <w:pPr>
        <w:jc w:val="both"/>
        <w:rPr>
          <w:szCs w:val="20"/>
        </w:rPr>
      </w:pPr>
      <w:r>
        <w:rPr>
          <w:szCs w:val="20"/>
        </w:rPr>
        <w:t>Given this variability in assignment scores</w:t>
      </w:r>
      <w:r w:rsidR="00D0320B">
        <w:rPr>
          <w:szCs w:val="20"/>
        </w:rPr>
        <w:t>,</w:t>
      </w:r>
      <w:r>
        <w:rPr>
          <w:szCs w:val="20"/>
        </w:rPr>
        <w:t xml:space="preserve"> we </w:t>
      </w:r>
      <w:r w:rsidR="0036231C">
        <w:rPr>
          <w:szCs w:val="20"/>
        </w:rPr>
        <w:t xml:space="preserve">have </w:t>
      </w:r>
      <w:r>
        <w:rPr>
          <w:szCs w:val="20"/>
        </w:rPr>
        <w:t xml:space="preserve">developed a mixture distribution approach that, given numerous assignment scores, determines the fractional contribution of </w:t>
      </w:r>
      <w:r w:rsidR="0036231C">
        <w:rPr>
          <w:szCs w:val="20"/>
        </w:rPr>
        <w:t>E</w:t>
      </w:r>
      <w:r>
        <w:rPr>
          <w:szCs w:val="20"/>
        </w:rPr>
        <w:t xml:space="preserve">astern and </w:t>
      </w:r>
      <w:r w:rsidR="0036231C">
        <w:rPr>
          <w:szCs w:val="20"/>
        </w:rPr>
        <w:t>W</w:t>
      </w:r>
      <w:r>
        <w:rPr>
          <w:szCs w:val="20"/>
        </w:rPr>
        <w:t xml:space="preserve">estern fish based on the assignment distributions in the stock-specific natal spawning areas. This approach can be applied </w:t>
      </w:r>
      <w:r w:rsidR="0036231C">
        <w:rPr>
          <w:szCs w:val="20"/>
        </w:rPr>
        <w:t xml:space="preserve">only </w:t>
      </w:r>
      <w:r>
        <w:rPr>
          <w:szCs w:val="20"/>
        </w:rPr>
        <w:t>to th</w:t>
      </w:r>
      <w:r w:rsidR="001637E4">
        <w:rPr>
          <w:szCs w:val="20"/>
        </w:rPr>
        <w:t>e Otolith microchemistry data (</w:t>
      </w:r>
      <w:r w:rsidR="00EB54FD">
        <w:rPr>
          <w:szCs w:val="20"/>
        </w:rPr>
        <w:t>82</w:t>
      </w:r>
      <w:r>
        <w:rPr>
          <w:szCs w:val="20"/>
        </w:rPr>
        <w:t>% of the assignment data, Table 2) since these have distributions for both the Mediterranean and Gulf of Mexico areas</w:t>
      </w:r>
      <w:r w:rsidR="00D0320B">
        <w:rPr>
          <w:szCs w:val="20"/>
        </w:rPr>
        <w:t xml:space="preserve"> to define the signals for “pure” Eastern and Western fish</w:t>
      </w:r>
      <w:r>
        <w:rPr>
          <w:szCs w:val="20"/>
        </w:rPr>
        <w:t xml:space="preserve"> (</w:t>
      </w:r>
      <w:r w:rsidR="00633884">
        <w:rPr>
          <w:szCs w:val="20"/>
        </w:rPr>
        <w:t xml:space="preserve">assignments scores from genetics are not available for the Gulf of Mexico, </w:t>
      </w:r>
      <w:r>
        <w:rPr>
          <w:szCs w:val="20"/>
        </w:rPr>
        <w:t xml:space="preserve">Table 1). </w:t>
      </w:r>
    </w:p>
    <w:p w14:paraId="5D5E8525" w14:textId="3D54E639" w:rsidR="00FE1731" w:rsidRDefault="00FE1731" w:rsidP="00C85272">
      <w:pPr>
        <w:jc w:val="both"/>
        <w:rPr>
          <w:szCs w:val="20"/>
        </w:rPr>
      </w:pPr>
    </w:p>
    <w:p w14:paraId="7D10DE76" w14:textId="77777777" w:rsidR="002052B9" w:rsidRDefault="002052B9" w:rsidP="00C85272">
      <w:pPr>
        <w:jc w:val="both"/>
        <w:rPr>
          <w:szCs w:val="20"/>
        </w:rPr>
      </w:pPr>
    </w:p>
    <w:p w14:paraId="7FACE87F" w14:textId="77777777" w:rsidR="00FE1731" w:rsidRDefault="00FE1731" w:rsidP="00C85272">
      <w:pPr>
        <w:jc w:val="both"/>
        <w:rPr>
          <w:szCs w:val="20"/>
        </w:rPr>
      </w:pPr>
    </w:p>
    <w:p w14:paraId="21CF0805" w14:textId="1E737BBD" w:rsidR="00892735" w:rsidRDefault="00892735" w:rsidP="00C85272">
      <w:pPr>
        <w:jc w:val="both"/>
        <w:rPr>
          <w:szCs w:val="20"/>
        </w:rPr>
      </w:pPr>
    </w:p>
    <w:p w14:paraId="4F5EC5EB" w14:textId="77777777" w:rsidR="00892735" w:rsidRDefault="00892735" w:rsidP="00C85272">
      <w:pPr>
        <w:jc w:val="both"/>
        <w:rPr>
          <w:szCs w:val="20"/>
        </w:rPr>
      </w:pPr>
    </w:p>
    <w:p w14:paraId="1BAF459F" w14:textId="0E57EA37" w:rsidR="00C85272" w:rsidRDefault="00CF7438" w:rsidP="00E42EE8">
      <w:pPr>
        <w:ind w:left="720"/>
        <w:jc w:val="both"/>
        <w:rPr>
          <w:szCs w:val="20"/>
        </w:rPr>
      </w:pPr>
      <w:r>
        <w:rPr>
          <w:noProof/>
          <w:szCs w:val="20"/>
          <w:lang w:val="en-US"/>
        </w:rPr>
        <w:lastRenderedPageBreak/>
        <w:drawing>
          <wp:inline distT="0" distB="0" distL="0" distR="0" wp14:anchorId="5DC10789" wp14:editId="76597EAA">
            <wp:extent cx="2830286" cy="33020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Obyarea_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8369" cy="3311430"/>
                    </a:xfrm>
                    <a:prstGeom prst="rect">
                      <a:avLst/>
                    </a:prstGeom>
                  </pic:spPr>
                </pic:pic>
              </a:graphicData>
            </a:graphic>
          </wp:inline>
        </w:drawing>
      </w:r>
    </w:p>
    <w:p w14:paraId="2E0E95C5" w14:textId="3BA54D14" w:rsidR="00C85272" w:rsidRDefault="00C85272" w:rsidP="00E42EE8">
      <w:pPr>
        <w:ind w:left="720"/>
        <w:jc w:val="both"/>
        <w:rPr>
          <w:szCs w:val="20"/>
        </w:rPr>
      </w:pPr>
      <w:r w:rsidRPr="00CD3F42">
        <w:rPr>
          <w:b/>
          <w:szCs w:val="20"/>
        </w:rPr>
        <w:t xml:space="preserve">Figure </w:t>
      </w:r>
      <w:r w:rsidR="008713D4">
        <w:rPr>
          <w:b/>
          <w:szCs w:val="20"/>
        </w:rPr>
        <w:t>2</w:t>
      </w:r>
      <w:r>
        <w:rPr>
          <w:szCs w:val="20"/>
        </w:rPr>
        <w:t xml:space="preserve">. The distribution of </w:t>
      </w:r>
      <w:r w:rsidR="002052B9">
        <w:rPr>
          <w:szCs w:val="20"/>
        </w:rPr>
        <w:t>assignment scores</w:t>
      </w:r>
      <w:r>
        <w:rPr>
          <w:szCs w:val="20"/>
        </w:rPr>
        <w:t xml:space="preserve"> in each area by type (otolith chemistry, genetics). </w:t>
      </w:r>
    </w:p>
    <w:p w14:paraId="0094691B" w14:textId="77777777" w:rsidR="00C85272" w:rsidRDefault="00C85272" w:rsidP="00C85272">
      <w:pPr>
        <w:jc w:val="both"/>
        <w:rPr>
          <w:szCs w:val="20"/>
        </w:rPr>
      </w:pPr>
    </w:p>
    <w:p w14:paraId="5890EFAC" w14:textId="77777777" w:rsidR="00C85272" w:rsidRDefault="00C85272" w:rsidP="00C85272">
      <w:pPr>
        <w:jc w:val="both"/>
        <w:rPr>
          <w:szCs w:val="20"/>
        </w:rPr>
      </w:pPr>
    </w:p>
    <w:p w14:paraId="4B478289" w14:textId="52FD2795" w:rsidR="00C85272" w:rsidRDefault="00C85272" w:rsidP="00E42EE8">
      <w:pPr>
        <w:ind w:left="720"/>
        <w:jc w:val="both"/>
        <w:rPr>
          <w:szCs w:val="20"/>
        </w:rPr>
      </w:pPr>
      <w:r w:rsidRPr="000D4BAC">
        <w:rPr>
          <w:b/>
          <w:szCs w:val="20"/>
        </w:rPr>
        <w:t xml:space="preserve">Table </w:t>
      </w:r>
      <w:r>
        <w:rPr>
          <w:b/>
          <w:szCs w:val="20"/>
        </w:rPr>
        <w:t>1</w:t>
      </w:r>
      <w:r w:rsidRPr="000D4BAC">
        <w:rPr>
          <w:b/>
          <w:szCs w:val="20"/>
        </w:rPr>
        <w:t>.</w:t>
      </w:r>
      <w:r>
        <w:rPr>
          <w:szCs w:val="20"/>
        </w:rPr>
        <w:t xml:space="preserve"> Summary of the </w:t>
      </w:r>
      <w:r w:rsidR="00FE1731">
        <w:rPr>
          <w:szCs w:val="20"/>
        </w:rPr>
        <w:t>assignment scores</w:t>
      </w:r>
      <w:r>
        <w:rPr>
          <w:szCs w:val="20"/>
        </w:rPr>
        <w:t xml:space="preserve"> by area. </w:t>
      </w:r>
    </w:p>
    <w:p w14:paraId="11679A0A" w14:textId="568F7A35" w:rsidR="00C85272" w:rsidRDefault="00CF7438" w:rsidP="00E42EE8">
      <w:pPr>
        <w:ind w:left="720"/>
        <w:jc w:val="both"/>
        <w:rPr>
          <w:szCs w:val="20"/>
        </w:rPr>
      </w:pPr>
      <w:r w:rsidRPr="00CF7438">
        <w:rPr>
          <w:noProof/>
          <w:lang w:val="en-US"/>
        </w:rPr>
        <w:drawing>
          <wp:inline distT="0" distB="0" distL="0" distR="0" wp14:anchorId="6D99A3A3" wp14:editId="3688F5F5">
            <wp:extent cx="4102100" cy="13570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9736" cy="1359534"/>
                    </a:xfrm>
                    <a:prstGeom prst="rect">
                      <a:avLst/>
                    </a:prstGeom>
                    <a:noFill/>
                    <a:ln>
                      <a:noFill/>
                    </a:ln>
                  </pic:spPr>
                </pic:pic>
              </a:graphicData>
            </a:graphic>
          </wp:inline>
        </w:drawing>
      </w:r>
    </w:p>
    <w:p w14:paraId="1C595451" w14:textId="77777777" w:rsidR="00C261D3" w:rsidRDefault="00C261D3" w:rsidP="00E42EE8">
      <w:pPr>
        <w:ind w:left="720"/>
        <w:jc w:val="both"/>
        <w:rPr>
          <w:szCs w:val="20"/>
        </w:rPr>
      </w:pPr>
    </w:p>
    <w:p w14:paraId="23E0D3D6" w14:textId="032B8FD0" w:rsidR="00FE1731" w:rsidRDefault="00FE1731" w:rsidP="00C85272">
      <w:pPr>
        <w:jc w:val="both"/>
        <w:rPr>
          <w:szCs w:val="20"/>
        </w:rPr>
      </w:pPr>
    </w:p>
    <w:p w14:paraId="403D407B" w14:textId="45066F0F" w:rsidR="00C261D3" w:rsidRDefault="00C261D3" w:rsidP="00C261D3">
      <w:pPr>
        <w:ind w:left="720"/>
        <w:jc w:val="both"/>
        <w:rPr>
          <w:szCs w:val="20"/>
        </w:rPr>
      </w:pPr>
      <w:r w:rsidRPr="00F3468E">
        <w:rPr>
          <w:b/>
          <w:szCs w:val="20"/>
        </w:rPr>
        <w:t xml:space="preserve">Table </w:t>
      </w:r>
      <w:r>
        <w:rPr>
          <w:b/>
          <w:szCs w:val="20"/>
        </w:rPr>
        <w:t>2</w:t>
      </w:r>
      <w:r>
        <w:rPr>
          <w:szCs w:val="20"/>
        </w:rPr>
        <w:t>. The frequency of SOO data by type and ocean area</w:t>
      </w:r>
      <w:r w:rsidR="0093247F">
        <w:rPr>
          <w:szCs w:val="20"/>
        </w:rPr>
        <w:t xml:space="preserve">. These are assignment scores for years before 2016 (the current operating model runs to 2015 after which spatial total catch data ‘CATDIS’ are not available) that have covariate area data and either age or length data. </w:t>
      </w:r>
    </w:p>
    <w:p w14:paraId="08DF84A1" w14:textId="7CE92060" w:rsidR="00C261D3" w:rsidRDefault="00C261D3" w:rsidP="00C261D3">
      <w:pPr>
        <w:ind w:left="720"/>
        <w:jc w:val="both"/>
        <w:rPr>
          <w:szCs w:val="20"/>
        </w:rPr>
      </w:pPr>
    </w:p>
    <w:p w14:paraId="01EFD515" w14:textId="41CB5F02" w:rsidR="00C261D3" w:rsidRDefault="00CF7438" w:rsidP="00C261D3">
      <w:pPr>
        <w:ind w:left="720"/>
        <w:jc w:val="both"/>
        <w:rPr>
          <w:szCs w:val="20"/>
        </w:rPr>
      </w:pPr>
      <w:r w:rsidRPr="00CF7438">
        <w:rPr>
          <w:noProof/>
          <w:lang w:val="en-US"/>
        </w:rPr>
        <w:drawing>
          <wp:inline distT="0" distB="0" distL="0" distR="0" wp14:anchorId="07884571" wp14:editId="2600B0A1">
            <wp:extent cx="3797300" cy="3876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7746" cy="394851"/>
                    </a:xfrm>
                    <a:prstGeom prst="rect">
                      <a:avLst/>
                    </a:prstGeom>
                    <a:noFill/>
                    <a:ln>
                      <a:noFill/>
                    </a:ln>
                  </pic:spPr>
                </pic:pic>
              </a:graphicData>
            </a:graphic>
          </wp:inline>
        </w:drawing>
      </w:r>
    </w:p>
    <w:p w14:paraId="0FBDA949" w14:textId="47107C24" w:rsidR="00B105AE" w:rsidRDefault="00B105AE" w:rsidP="002D2024">
      <w:pPr>
        <w:rPr>
          <w:rFonts w:cs="Times New Roman"/>
          <w:b/>
          <w:szCs w:val="20"/>
        </w:rPr>
      </w:pPr>
    </w:p>
    <w:p w14:paraId="5E773AA8" w14:textId="77777777" w:rsidR="00144169" w:rsidRDefault="00144169" w:rsidP="002D2024">
      <w:pPr>
        <w:rPr>
          <w:rFonts w:cs="Times New Roman"/>
          <w:b/>
          <w:szCs w:val="20"/>
        </w:rPr>
      </w:pPr>
    </w:p>
    <w:p w14:paraId="7C5BF819" w14:textId="409615D1" w:rsidR="00E42EE8" w:rsidRDefault="00E42EE8" w:rsidP="008939BD">
      <w:pPr>
        <w:jc w:val="both"/>
        <w:rPr>
          <w:rFonts w:eastAsiaTheme="minorEastAsia" w:cs="Times New Roman"/>
          <w:szCs w:val="20"/>
        </w:rPr>
      </w:pPr>
      <w:r>
        <w:rPr>
          <w:rFonts w:cs="Times New Roman"/>
          <w:szCs w:val="20"/>
        </w:rPr>
        <w:t>First</w:t>
      </w:r>
      <w:r w:rsidR="003479AD">
        <w:rPr>
          <w:rFonts w:cs="Times New Roman"/>
          <w:szCs w:val="20"/>
        </w:rPr>
        <w:t>,</w:t>
      </w:r>
      <w:r>
        <w:rPr>
          <w:rFonts w:cs="Times New Roman"/>
          <w:szCs w:val="20"/>
        </w:rPr>
        <w:t xml:space="preserve"> we calculated the fraction of assignment data in 5% bins </w:t>
      </w:r>
      <w:r w:rsidR="003479AD">
        <w:rPr>
          <w:rFonts w:cs="Times New Roman"/>
          <w:szCs w:val="20"/>
        </w:rPr>
        <w:t>(</w:t>
      </w:r>
      <w:proofErr w:type="spellStart"/>
      <w:r w:rsidR="003479AD">
        <w:rPr>
          <w:rFonts w:cs="Times New Roman"/>
          <w:szCs w:val="20"/>
        </w:rPr>
        <w:t>i</w:t>
      </w:r>
      <w:proofErr w:type="spellEnd"/>
      <w:r w:rsidR="003479AD">
        <w:rPr>
          <w:rFonts w:cs="Times New Roman"/>
          <w:szCs w:val="20"/>
        </w:rPr>
        <w:t xml:space="preserve">=1, 2, 3… n) </w:t>
      </w:r>
      <w:r>
        <w:rPr>
          <w:rFonts w:cs="Times New Roman"/>
          <w:szCs w:val="20"/>
        </w:rPr>
        <w:t xml:space="preserve">across the range of 0-100% for both the Gulf of Mexico (GOM) and Mediterranean areas (Figure 3, top panel). </w:t>
      </w:r>
      <w:r w:rsidR="001637E4">
        <w:rPr>
          <w:rFonts w:cs="Times New Roman"/>
          <w:szCs w:val="20"/>
        </w:rPr>
        <w:t>The</w:t>
      </w:r>
      <w:r w:rsidR="003479AD">
        <w:rPr>
          <w:rFonts w:cs="Times New Roman"/>
          <w:szCs w:val="20"/>
        </w:rPr>
        <w:t xml:space="preserve"> fraction </w:t>
      </w:r>
      <w:r w:rsidR="001637E4">
        <w:rPr>
          <w:rFonts w:cs="Times New Roman"/>
          <w:szCs w:val="20"/>
        </w:rPr>
        <w:t xml:space="preserve">of scores </w:t>
      </w:r>
      <w:r w:rsidR="003479AD">
        <w:rPr>
          <w:rFonts w:cs="Times New Roman"/>
          <w:szCs w:val="20"/>
        </w:rPr>
        <w:t xml:space="preserve">corresponding to the </w:t>
      </w:r>
      <w:proofErr w:type="spellStart"/>
      <w:r w:rsidR="003479AD" w:rsidRPr="003479AD">
        <w:rPr>
          <w:rFonts w:cs="Times New Roman"/>
          <w:i/>
          <w:szCs w:val="20"/>
        </w:rPr>
        <w:t>i</w:t>
      </w:r>
      <w:r w:rsidR="003479AD" w:rsidRPr="003479AD">
        <w:rPr>
          <w:rFonts w:cs="Times New Roman"/>
          <w:szCs w:val="20"/>
          <w:vertAlign w:val="superscript"/>
        </w:rPr>
        <w:t>th</w:t>
      </w:r>
      <w:proofErr w:type="spellEnd"/>
      <w:r w:rsidR="003479AD">
        <w:rPr>
          <w:rFonts w:cs="Times New Roman"/>
          <w:szCs w:val="20"/>
        </w:rPr>
        <w:t xml:space="preserve"> bin </w:t>
      </w:r>
      <w:r w:rsidR="001637E4">
        <w:rPr>
          <w:rFonts w:cs="Times New Roman"/>
          <w:szCs w:val="20"/>
        </w:rPr>
        <w:t xml:space="preserve">of the </w:t>
      </w:r>
      <w:r w:rsidR="0036231C">
        <w:rPr>
          <w:rFonts w:cs="Times New Roman"/>
          <w:szCs w:val="20"/>
        </w:rPr>
        <w:t>We</w:t>
      </w:r>
      <w:r w:rsidR="001637E4">
        <w:rPr>
          <w:rFonts w:cs="Times New Roman"/>
          <w:szCs w:val="20"/>
        </w:rPr>
        <w:t xml:space="preserve">stern (GOM) distribution and the </w:t>
      </w:r>
      <w:r w:rsidR="0036231C">
        <w:rPr>
          <w:rFonts w:cs="Times New Roman"/>
          <w:szCs w:val="20"/>
        </w:rPr>
        <w:t>Ea</w:t>
      </w:r>
      <w:r w:rsidR="001637E4">
        <w:rPr>
          <w:rFonts w:cs="Times New Roman"/>
          <w:szCs w:val="20"/>
        </w:rPr>
        <w:t xml:space="preserve">stern (Mediterranean) distribution are </w:t>
      </w:r>
      <w:r>
        <w:rPr>
          <w:rFonts w:cs="Times New Roman"/>
          <w:szCs w:val="20"/>
        </w:rPr>
        <w:t>refer</w:t>
      </w:r>
      <w:r w:rsidR="003479AD">
        <w:rPr>
          <w:rFonts w:cs="Times New Roman"/>
          <w:szCs w:val="20"/>
        </w:rPr>
        <w:t>r</w:t>
      </w:r>
      <w:r>
        <w:rPr>
          <w:rFonts w:cs="Times New Roman"/>
          <w:szCs w:val="20"/>
        </w:rPr>
        <w:t xml:space="preserve">ed to as </w:t>
      </w:r>
      <m:oMath>
        <m:sSub>
          <m:sSubPr>
            <m:ctrlPr>
              <w:rPr>
                <w:rFonts w:ascii="Cambria Math" w:hAnsi="Cambria Math" w:cs="Times New Roman"/>
                <w:i/>
                <w:szCs w:val="20"/>
              </w:rPr>
            </m:ctrlPr>
          </m:sSubPr>
          <m:e>
            <m:r>
              <w:rPr>
                <w:rFonts w:ascii="Cambria Math" w:hAnsi="Cambria Math" w:cs="Times New Roman"/>
                <w:szCs w:val="20"/>
              </w:rPr>
              <m:t>W</m:t>
            </m:r>
          </m:e>
          <m:sub>
            <m:r>
              <w:rPr>
                <w:rFonts w:ascii="Cambria Math" w:hAnsi="Cambria Math" w:cs="Times New Roman"/>
                <w:szCs w:val="20"/>
              </w:rPr>
              <m:t>i</m:t>
            </m:r>
          </m:sub>
        </m:sSub>
      </m:oMath>
      <w:r>
        <w:rPr>
          <w:rFonts w:cs="Times New Roman"/>
          <w:szCs w:val="20"/>
        </w:rPr>
        <w:t xml:space="preserve"> and </w:t>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i</m:t>
            </m:r>
          </m:sub>
        </m:sSub>
      </m:oMath>
      <w:r w:rsidR="003479AD">
        <w:rPr>
          <w:rFonts w:cs="Times New Roman"/>
          <w:szCs w:val="20"/>
        </w:rPr>
        <w:t>, respectively</w:t>
      </w:r>
      <w:r w:rsidR="0036231C">
        <w:rPr>
          <w:rFonts w:cs="Times New Roman"/>
          <w:szCs w:val="20"/>
        </w:rPr>
        <w:t>, and the distributions of these fractions is taken to characterise each of these stocks</w:t>
      </w:r>
      <w:r w:rsidR="0036231C">
        <w:rPr>
          <w:rStyle w:val="FootnoteReference"/>
          <w:rFonts w:cs="Times New Roman"/>
          <w:szCs w:val="20"/>
        </w:rPr>
        <w:footnoteReference w:id="3"/>
      </w:r>
      <w:r>
        <w:rPr>
          <w:rFonts w:cs="Times New Roman"/>
          <w:szCs w:val="20"/>
        </w:rPr>
        <w:t>. For any strat</w:t>
      </w:r>
      <w:r w:rsidR="003479AD">
        <w:rPr>
          <w:rFonts w:cs="Times New Roman"/>
          <w:szCs w:val="20"/>
        </w:rPr>
        <w:t>a (year, quarter, area, age class</w:t>
      </w:r>
      <w:r w:rsidR="0036231C">
        <w:rPr>
          <w:rFonts w:cs="Times New Roman"/>
          <w:szCs w:val="20"/>
        </w:rPr>
        <w:t xml:space="preserve"> combinations</w:t>
      </w:r>
      <w:r w:rsidR="003479AD">
        <w:rPr>
          <w:rFonts w:cs="Times New Roman"/>
          <w:szCs w:val="20"/>
        </w:rPr>
        <w:t>)</w:t>
      </w:r>
      <w:r w:rsidR="003479AD">
        <w:rPr>
          <w:rFonts w:cs="Times New Roman"/>
          <w:i/>
          <w:szCs w:val="20"/>
        </w:rPr>
        <w:t xml:space="preserve"> s</w:t>
      </w:r>
      <w:r w:rsidR="003479AD">
        <w:rPr>
          <w:rFonts w:cs="Times New Roman"/>
          <w:szCs w:val="20"/>
        </w:rPr>
        <w:t xml:space="preserve"> with more than 5 assignment data</w:t>
      </w:r>
      <w:r w:rsidR="001637E4">
        <w:rPr>
          <w:rFonts w:cs="Times New Roman"/>
          <w:szCs w:val="20"/>
        </w:rPr>
        <w:t xml:space="preserve"> points</w:t>
      </w:r>
      <w:r w:rsidR="003479AD">
        <w:rPr>
          <w:rFonts w:cs="Times New Roman"/>
          <w:szCs w:val="20"/>
        </w:rPr>
        <w:t xml:space="preserve">, </w:t>
      </w:r>
      <w:r>
        <w:rPr>
          <w:rFonts w:cs="Times New Roman"/>
          <w:szCs w:val="20"/>
        </w:rPr>
        <w:t xml:space="preserve">the fraction of </w:t>
      </w:r>
      <w:r w:rsidR="003479AD">
        <w:rPr>
          <w:rFonts w:cs="Times New Roman"/>
          <w:szCs w:val="20"/>
        </w:rPr>
        <w:t>assignment data</w:t>
      </w:r>
      <w:r>
        <w:rPr>
          <w:rFonts w:cs="Times New Roman"/>
          <w:szCs w:val="20"/>
        </w:rPr>
        <w:t xml:space="preserve"> </w:t>
      </w:r>
      <m:oMath>
        <m:sSub>
          <m:sSubPr>
            <m:ctrlPr>
              <w:rPr>
                <w:rFonts w:ascii="Cambria Math" w:hAnsi="Cambria Math" w:cs="Times New Roman"/>
                <w:i/>
                <w:szCs w:val="20"/>
              </w:rPr>
            </m:ctrlPr>
          </m:sSubPr>
          <m:e>
            <m:r>
              <w:rPr>
                <w:rFonts w:ascii="Cambria Math" w:hAnsi="Cambria Math" w:cs="Times New Roman"/>
                <w:szCs w:val="20"/>
              </w:rPr>
              <m:t>O</m:t>
            </m:r>
          </m:e>
          <m:sub>
            <m:r>
              <w:rPr>
                <w:rFonts w:ascii="Cambria Math" w:hAnsi="Cambria Math" w:cs="Times New Roman"/>
                <w:szCs w:val="20"/>
              </w:rPr>
              <m:t>i</m:t>
            </m:r>
          </m:sub>
        </m:sSub>
        <m:r>
          <w:rPr>
            <w:rFonts w:ascii="Cambria Math" w:hAnsi="Cambria Math" w:cs="Times New Roman"/>
            <w:szCs w:val="20"/>
          </w:rPr>
          <m:t xml:space="preserve"> </m:t>
        </m:r>
      </m:oMath>
      <w:r>
        <w:rPr>
          <w:rFonts w:cs="Times New Roman"/>
          <w:szCs w:val="20"/>
        </w:rPr>
        <w:t>was calculated</w:t>
      </w:r>
      <w:r w:rsidR="003479AD">
        <w:rPr>
          <w:rFonts w:eastAsiaTheme="minorEastAsia" w:cs="Times New Roman"/>
          <w:szCs w:val="20"/>
        </w:rPr>
        <w:t>.</w:t>
      </w:r>
    </w:p>
    <w:p w14:paraId="61F886F6" w14:textId="2FC39B26" w:rsidR="003479AD" w:rsidRDefault="003479AD" w:rsidP="008939BD">
      <w:pPr>
        <w:jc w:val="both"/>
        <w:rPr>
          <w:rFonts w:eastAsiaTheme="minorEastAsia" w:cs="Times New Roman"/>
          <w:szCs w:val="20"/>
        </w:rPr>
      </w:pPr>
    </w:p>
    <w:p w14:paraId="21B97626" w14:textId="4FE2CE4B" w:rsidR="003479AD" w:rsidRDefault="003479AD" w:rsidP="008939BD">
      <w:pPr>
        <w:jc w:val="both"/>
        <w:rPr>
          <w:rFonts w:eastAsiaTheme="minorEastAsia" w:cs="Times New Roman"/>
          <w:szCs w:val="20"/>
        </w:rPr>
      </w:pPr>
      <w:r>
        <w:rPr>
          <w:rFonts w:eastAsiaTheme="minorEastAsia" w:cs="Times New Roman"/>
          <w:szCs w:val="20"/>
        </w:rPr>
        <w:t>For any mixed strata</w:t>
      </w:r>
      <w:r w:rsidR="009D5097">
        <w:rPr>
          <w:rFonts w:eastAsiaTheme="minorEastAsia" w:cs="Times New Roman"/>
          <w:szCs w:val="20"/>
        </w:rPr>
        <w:t xml:space="preserve"> </w:t>
      </w:r>
      <w:r w:rsidR="009D5097" w:rsidRPr="009D5097">
        <w:rPr>
          <w:rFonts w:eastAsiaTheme="minorEastAsia" w:cs="Times New Roman"/>
          <w:i/>
          <w:szCs w:val="20"/>
        </w:rPr>
        <w:t>s</w:t>
      </w:r>
      <w:r w:rsidR="009D5097">
        <w:rPr>
          <w:rFonts w:eastAsiaTheme="minorEastAsia" w:cs="Times New Roman"/>
          <w:szCs w:val="20"/>
        </w:rPr>
        <w:t>,</w:t>
      </w:r>
      <w:r>
        <w:rPr>
          <w:rFonts w:eastAsiaTheme="minorEastAsia" w:cs="Times New Roman"/>
          <w:szCs w:val="20"/>
        </w:rPr>
        <w:t xml:space="preserve"> the predicted</w:t>
      </w:r>
      <w:r w:rsidR="009D5097">
        <w:rPr>
          <w:rFonts w:eastAsiaTheme="minorEastAsia" w:cs="Times New Roman"/>
          <w:szCs w:val="20"/>
        </w:rPr>
        <w:t xml:space="preserve"> fraction in each bin </w:t>
      </w:r>
      <w:proofErr w:type="spellStart"/>
      <w:r w:rsidR="009D5097" w:rsidRPr="009D5097">
        <w:rPr>
          <w:rFonts w:eastAsiaTheme="minorEastAsia" w:cs="Times New Roman"/>
          <w:i/>
          <w:szCs w:val="20"/>
        </w:rPr>
        <w:t>i</w:t>
      </w:r>
      <w:proofErr w:type="spellEnd"/>
      <w:r w:rsidR="009D5097">
        <w:rPr>
          <w:rFonts w:eastAsiaTheme="minorEastAsia" w:cs="Times New Roman"/>
          <w:szCs w:val="20"/>
        </w:rPr>
        <w:t>, for the</w:t>
      </w:r>
      <w:r>
        <w:rPr>
          <w:rFonts w:eastAsiaTheme="minorEastAsia" w:cs="Times New Roman"/>
          <w:szCs w:val="20"/>
        </w:rPr>
        <w:t xml:space="preserve"> mixture distribution</w:t>
      </w:r>
      <w:r w:rsidR="009D5097">
        <w:rPr>
          <w:rFonts w:eastAsiaTheme="minorEastAsia" w:cs="Times New Roman"/>
          <w:szCs w:val="20"/>
        </w:rPr>
        <w:t xml:space="preserve"> </w:t>
      </w:r>
      <w:proofErr w:type="spellStart"/>
      <w:proofErr w:type="gramStart"/>
      <w:r w:rsidR="009D5097" w:rsidRPr="009D5097">
        <w:rPr>
          <w:rFonts w:eastAsiaTheme="minorEastAsia" w:cs="Times New Roman"/>
          <w:i/>
          <w:szCs w:val="20"/>
        </w:rPr>
        <w:t>P</w:t>
      </w:r>
      <w:r w:rsidR="009D5097" w:rsidRPr="009D5097">
        <w:rPr>
          <w:rFonts w:eastAsiaTheme="minorEastAsia" w:cs="Times New Roman"/>
          <w:i/>
          <w:szCs w:val="20"/>
          <w:vertAlign w:val="subscript"/>
        </w:rPr>
        <w:t>s</w:t>
      </w:r>
      <w:r w:rsidR="009D5097">
        <w:rPr>
          <w:rFonts w:eastAsiaTheme="minorEastAsia" w:cs="Times New Roman"/>
          <w:i/>
          <w:szCs w:val="20"/>
          <w:vertAlign w:val="subscript"/>
        </w:rPr>
        <w:t>,i</w:t>
      </w:r>
      <w:proofErr w:type="spellEnd"/>
      <w:proofErr w:type="gramEnd"/>
      <w:r>
        <w:rPr>
          <w:rFonts w:eastAsiaTheme="minorEastAsia" w:cs="Times New Roman"/>
          <w:szCs w:val="20"/>
        </w:rPr>
        <w:t xml:space="preserve"> was calculated from a ratio </w:t>
      </w:r>
      <w:r w:rsidRPr="003479AD">
        <w:rPr>
          <w:rFonts w:eastAsiaTheme="minorEastAsia" w:cs="Times New Roman"/>
          <w:i/>
          <w:szCs w:val="20"/>
        </w:rPr>
        <w:t>R</w:t>
      </w:r>
      <w:r w:rsidR="009D5097" w:rsidRPr="009D5097">
        <w:rPr>
          <w:rFonts w:eastAsiaTheme="minorEastAsia" w:cs="Times New Roman"/>
          <w:i/>
          <w:szCs w:val="20"/>
          <w:vertAlign w:val="subscript"/>
        </w:rPr>
        <w:t>s</w:t>
      </w:r>
      <w:r w:rsidR="001637E4">
        <w:rPr>
          <w:rFonts w:eastAsiaTheme="minorEastAsia" w:cs="Times New Roman"/>
          <w:szCs w:val="20"/>
        </w:rPr>
        <w:t xml:space="preserve"> -</w:t>
      </w:r>
      <w:r>
        <w:rPr>
          <w:rFonts w:eastAsiaTheme="minorEastAsia" w:cs="Times New Roman"/>
          <w:szCs w:val="20"/>
        </w:rPr>
        <w:t xml:space="preserve"> the fraction of </w:t>
      </w:r>
      <w:r w:rsidR="003D3593">
        <w:rPr>
          <w:rFonts w:eastAsiaTheme="minorEastAsia" w:cs="Times New Roman"/>
          <w:szCs w:val="20"/>
        </w:rPr>
        <w:t>E</w:t>
      </w:r>
      <w:r>
        <w:rPr>
          <w:rFonts w:eastAsiaTheme="minorEastAsia" w:cs="Times New Roman"/>
          <w:szCs w:val="20"/>
        </w:rPr>
        <w:t>astern fish</w:t>
      </w:r>
      <w:r w:rsidR="00BF5D9E">
        <w:rPr>
          <w:rFonts w:eastAsiaTheme="minorEastAsia" w:cs="Times New Roman"/>
          <w:szCs w:val="20"/>
        </w:rPr>
        <w:t xml:space="preserve"> (</w:t>
      </w:r>
      <w:r w:rsidR="00BF5D9E" w:rsidRPr="00BF5D9E">
        <w:rPr>
          <w:rFonts w:eastAsiaTheme="minorEastAsia" w:cs="Times New Roman"/>
          <w:i/>
          <w:szCs w:val="20"/>
        </w:rPr>
        <w:t xml:space="preserve">P </w:t>
      </w:r>
      <w:r w:rsidR="00BF5D9E">
        <w:rPr>
          <w:rFonts w:eastAsiaTheme="minorEastAsia" w:cs="Times New Roman"/>
          <w:szCs w:val="20"/>
        </w:rPr>
        <w:t>is the pink line in the bottom panel of Figure 3)</w:t>
      </w:r>
      <w:r>
        <w:rPr>
          <w:rFonts w:eastAsiaTheme="minorEastAsia" w:cs="Times New Roman"/>
          <w:szCs w:val="20"/>
        </w:rPr>
        <w:t xml:space="preserve">: </w:t>
      </w:r>
    </w:p>
    <w:p w14:paraId="1DBF047A" w14:textId="77777777" w:rsidR="003479AD" w:rsidRDefault="003479AD" w:rsidP="002D2024">
      <w:pPr>
        <w:rPr>
          <w:rFonts w:eastAsiaTheme="minorEastAsia" w:cs="Times New Roman"/>
          <w:szCs w:val="20"/>
        </w:rPr>
      </w:pPr>
    </w:p>
    <w:p w14:paraId="7E23D65F" w14:textId="6BFE2F0A" w:rsidR="003479AD" w:rsidRDefault="00790CD3" w:rsidP="00144169">
      <w:pPr>
        <w:ind w:firstLine="720"/>
        <w:rPr>
          <w:rFonts w:eastAsiaTheme="minorEastAsia" w:cs="Times New Roman"/>
          <w:szCs w:val="20"/>
        </w:rPr>
      </w:pPr>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s,i</m:t>
            </m:r>
          </m:sub>
        </m:sSub>
        <m:r>
          <w:rPr>
            <w:rFonts w:ascii="Cambria Math"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R</m:t>
            </m:r>
          </m:e>
          <m:sub>
            <m:r>
              <w:rPr>
                <w:rFonts w:ascii="Cambria Math" w:eastAsiaTheme="minorEastAsia" w:hAnsi="Cambria Math" w:cs="Times New Roman"/>
                <w:szCs w:val="20"/>
              </w:rPr>
              <m:t>s</m:t>
            </m:r>
          </m:sub>
        </m:sSub>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E</m:t>
            </m:r>
          </m:e>
          <m:sub>
            <m:r>
              <w:rPr>
                <w:rFonts w:ascii="Cambria Math" w:eastAsiaTheme="minorEastAsia" w:hAnsi="Cambria Math" w:cs="Times New Roman"/>
                <w:szCs w:val="20"/>
              </w:rPr>
              <m:t>i</m:t>
            </m:r>
          </m:sub>
        </m:sSub>
        <m:r>
          <w:rPr>
            <w:rFonts w:ascii="Cambria Math" w:eastAsiaTheme="minorEastAsia" w:hAnsi="Cambria Math" w:cs="Times New Roman"/>
            <w:szCs w:val="20"/>
          </w:rPr>
          <m:t>+</m:t>
        </m:r>
        <m:d>
          <m:dPr>
            <m:ctrlPr>
              <w:rPr>
                <w:rFonts w:ascii="Cambria Math" w:eastAsiaTheme="minorEastAsia" w:hAnsi="Cambria Math" w:cs="Times New Roman"/>
                <w:i/>
                <w:szCs w:val="20"/>
              </w:rPr>
            </m:ctrlPr>
          </m:dPr>
          <m:e>
            <m:r>
              <w:rPr>
                <w:rFonts w:ascii="Cambria Math" w:eastAsiaTheme="minorEastAsia" w:hAnsi="Cambria Math" w:cs="Times New Roman"/>
                <w:szCs w:val="20"/>
              </w:rPr>
              <m:t>1-</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R</m:t>
                </m:r>
              </m:e>
              <m:sub>
                <m:r>
                  <w:rPr>
                    <w:rFonts w:ascii="Cambria Math" w:eastAsiaTheme="minorEastAsia" w:hAnsi="Cambria Math" w:cs="Times New Roman"/>
                    <w:szCs w:val="20"/>
                  </w:rPr>
                  <m:t>s</m:t>
                </m:r>
              </m:sub>
            </m:sSub>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W</m:t>
                </m:r>
              </m:e>
              <m:sub>
                <m:r>
                  <w:rPr>
                    <w:rFonts w:ascii="Cambria Math" w:eastAsiaTheme="minorEastAsia" w:hAnsi="Cambria Math" w:cs="Times New Roman"/>
                    <w:szCs w:val="20"/>
                  </w:rPr>
                  <m:t>i</m:t>
                </m:r>
              </m:sub>
            </m:sSub>
          </m:e>
        </m:d>
      </m:oMath>
      <w:r w:rsidR="009D5097">
        <w:rPr>
          <w:rFonts w:eastAsiaTheme="minorEastAsia" w:cs="Times New Roman"/>
          <w:szCs w:val="20"/>
        </w:rPr>
        <w:tab/>
      </w:r>
      <w:r w:rsidR="009D5097">
        <w:rPr>
          <w:rFonts w:eastAsiaTheme="minorEastAsia" w:cs="Times New Roman"/>
          <w:szCs w:val="20"/>
        </w:rPr>
        <w:tab/>
      </w:r>
      <w:r w:rsidR="009D5097">
        <w:rPr>
          <w:rFonts w:eastAsiaTheme="minorEastAsia" w:cs="Times New Roman"/>
          <w:szCs w:val="20"/>
        </w:rPr>
        <w:tab/>
      </w:r>
      <w:r w:rsidR="009D5097">
        <w:rPr>
          <w:rFonts w:eastAsiaTheme="minorEastAsia" w:cs="Times New Roman"/>
          <w:szCs w:val="20"/>
        </w:rPr>
        <w:tab/>
      </w:r>
      <w:r w:rsidR="009D5097">
        <w:rPr>
          <w:rFonts w:eastAsiaTheme="minorEastAsia" w:cs="Times New Roman"/>
          <w:szCs w:val="20"/>
        </w:rPr>
        <w:tab/>
      </w:r>
      <w:r w:rsidR="009D5097">
        <w:rPr>
          <w:rFonts w:eastAsiaTheme="minorEastAsia" w:cs="Times New Roman"/>
          <w:szCs w:val="20"/>
        </w:rPr>
        <w:tab/>
      </w:r>
      <w:r w:rsidR="009D5097">
        <w:rPr>
          <w:rFonts w:eastAsiaTheme="minorEastAsia" w:cs="Times New Roman"/>
          <w:szCs w:val="20"/>
        </w:rPr>
        <w:tab/>
      </w:r>
      <w:r w:rsidR="009D5097">
        <w:rPr>
          <w:rFonts w:eastAsiaTheme="minorEastAsia" w:cs="Times New Roman"/>
          <w:szCs w:val="20"/>
        </w:rPr>
        <w:tab/>
      </w:r>
      <w:r w:rsidR="009D5097">
        <w:rPr>
          <w:rFonts w:eastAsiaTheme="minorEastAsia" w:cs="Times New Roman"/>
          <w:szCs w:val="20"/>
        </w:rPr>
        <w:tab/>
        <w:t>(1)</w:t>
      </w:r>
    </w:p>
    <w:p w14:paraId="115F777D" w14:textId="1677BCC5" w:rsidR="009D5097" w:rsidRDefault="009D5097" w:rsidP="002D2024">
      <w:pPr>
        <w:rPr>
          <w:rFonts w:eastAsiaTheme="minorEastAsia" w:cs="Times New Roman"/>
          <w:szCs w:val="20"/>
        </w:rPr>
      </w:pPr>
    </w:p>
    <w:p w14:paraId="0A919A8D" w14:textId="4E80B5D1" w:rsidR="009D5097" w:rsidRDefault="001637E4" w:rsidP="002D2024">
      <w:pPr>
        <w:rPr>
          <w:rFonts w:eastAsiaTheme="minorEastAsia" w:cs="Times New Roman"/>
          <w:szCs w:val="20"/>
        </w:rPr>
      </w:pPr>
      <w:r>
        <w:rPr>
          <w:rFonts w:eastAsiaTheme="minorEastAsia" w:cs="Times New Roman"/>
          <w:szCs w:val="20"/>
        </w:rPr>
        <w:lastRenderedPageBreak/>
        <w:t xml:space="preserve">For each strata </w:t>
      </w:r>
      <w:r>
        <w:rPr>
          <w:rFonts w:eastAsiaTheme="minorEastAsia" w:cs="Times New Roman"/>
          <w:i/>
          <w:szCs w:val="20"/>
        </w:rPr>
        <w:t>s</w:t>
      </w:r>
      <w:r w:rsidR="009D5097">
        <w:rPr>
          <w:rFonts w:eastAsiaTheme="minorEastAsia" w:cs="Times New Roman"/>
          <w:szCs w:val="20"/>
        </w:rPr>
        <w:t xml:space="preserve">, </w:t>
      </w:r>
      <w:r w:rsidR="009D5097" w:rsidRPr="00CB06F8">
        <w:rPr>
          <w:rFonts w:eastAsiaTheme="minorEastAsia" w:cs="Times New Roman"/>
          <w:i/>
          <w:szCs w:val="20"/>
        </w:rPr>
        <w:t>R</w:t>
      </w:r>
      <w:r w:rsidRPr="001637E4">
        <w:rPr>
          <w:rFonts w:eastAsiaTheme="minorEastAsia" w:cs="Times New Roman"/>
          <w:i/>
          <w:szCs w:val="20"/>
          <w:vertAlign w:val="subscript"/>
        </w:rPr>
        <w:t>s</w:t>
      </w:r>
      <w:r w:rsidR="009D5097">
        <w:rPr>
          <w:rFonts w:eastAsiaTheme="minorEastAsia" w:cs="Times New Roman"/>
          <w:szCs w:val="20"/>
        </w:rPr>
        <w:t xml:space="preserve"> was</w:t>
      </w:r>
      <w:r w:rsidR="00AE25A0">
        <w:rPr>
          <w:rFonts w:eastAsiaTheme="minorEastAsia" w:cs="Times New Roman"/>
          <w:szCs w:val="20"/>
        </w:rPr>
        <w:t xml:space="preserve"> then</w:t>
      </w:r>
      <w:r w:rsidR="009D5097">
        <w:rPr>
          <w:rFonts w:eastAsiaTheme="minorEastAsia" w:cs="Times New Roman"/>
          <w:szCs w:val="20"/>
        </w:rPr>
        <w:t xml:space="preserve"> estimated numerical</w:t>
      </w:r>
      <w:r w:rsidR="003D3593">
        <w:rPr>
          <w:rFonts w:eastAsiaTheme="minorEastAsia" w:cs="Times New Roman"/>
          <w:szCs w:val="20"/>
        </w:rPr>
        <w:t>ly</w:t>
      </w:r>
      <w:r w:rsidR="009D5097">
        <w:rPr>
          <w:rFonts w:eastAsiaTheme="minorEastAsia" w:cs="Times New Roman"/>
          <w:szCs w:val="20"/>
        </w:rPr>
        <w:t xml:space="preserve"> by minimizing the objective function:  </w:t>
      </w:r>
    </w:p>
    <w:p w14:paraId="027B2401" w14:textId="4920EEF6" w:rsidR="009D5097" w:rsidRDefault="009D5097" w:rsidP="002D2024">
      <w:pPr>
        <w:rPr>
          <w:rFonts w:eastAsiaTheme="minorEastAsia" w:cs="Times New Roman"/>
          <w:szCs w:val="20"/>
        </w:rPr>
      </w:pPr>
    </w:p>
    <w:p w14:paraId="0F7C40D8" w14:textId="2241F4C5" w:rsidR="009D5097" w:rsidRDefault="00790CD3" w:rsidP="00144169">
      <w:pPr>
        <w:ind w:firstLine="720"/>
        <w:rPr>
          <w:rFonts w:eastAsiaTheme="minorEastAsia" w:cs="Times New Roman"/>
          <w:szCs w:val="20"/>
        </w:rPr>
      </w:pPr>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θ</m:t>
            </m:r>
          </m:e>
          <m:sub>
            <m:r>
              <w:rPr>
                <w:rFonts w:ascii="Cambria Math" w:eastAsiaTheme="minorEastAsia" w:hAnsi="Cambria Math" w:cs="Times New Roman"/>
                <w:szCs w:val="20"/>
              </w:rPr>
              <m:t>s</m:t>
            </m:r>
          </m:sub>
        </m:sSub>
        <m:r>
          <w:rPr>
            <w:rFonts w:ascii="Cambria Math" w:eastAsiaTheme="minorEastAsia" w:hAnsi="Cambria Math" w:cs="Times New Roman"/>
            <w:szCs w:val="20"/>
          </w:rPr>
          <m:t>=</m:t>
        </m:r>
        <m:nary>
          <m:naryPr>
            <m:chr m:val="∑"/>
            <m:limLoc m:val="undOvr"/>
            <m:supHide m:val="1"/>
            <m:ctrlPr>
              <w:rPr>
                <w:rFonts w:ascii="Cambria Math" w:eastAsiaTheme="minorEastAsia" w:hAnsi="Cambria Math" w:cs="Times New Roman"/>
                <w:i/>
                <w:szCs w:val="20"/>
              </w:rPr>
            </m:ctrlPr>
          </m:naryPr>
          <m:sub>
            <m:r>
              <w:rPr>
                <w:rFonts w:ascii="Cambria Math" w:eastAsiaTheme="minorEastAsia" w:hAnsi="Cambria Math" w:cs="Times New Roman"/>
                <w:szCs w:val="20"/>
              </w:rPr>
              <m:t>i</m:t>
            </m:r>
          </m:sub>
          <m:sup/>
          <m:e>
            <m:r>
              <w:rPr>
                <w:rFonts w:ascii="Cambria Math" w:eastAsiaTheme="minorEastAsia" w:hAnsi="Cambria Math" w:cs="Times New Roman"/>
                <w:szCs w:val="20"/>
              </w:rPr>
              <m:t>ln</m:t>
            </m:r>
            <m:d>
              <m:dPr>
                <m:ctrlPr>
                  <w:rPr>
                    <w:rFonts w:ascii="Cambria Math" w:eastAsiaTheme="minorEastAsia" w:hAnsi="Cambria Math" w:cs="Times New Roman"/>
                    <w:i/>
                    <w:szCs w:val="20"/>
                  </w:rPr>
                </m:ctrlPr>
              </m:d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σ</m:t>
                    </m:r>
                  </m:e>
                  <m:sub>
                    <m:r>
                      <w:rPr>
                        <w:rFonts w:ascii="Cambria Math" w:eastAsiaTheme="minorEastAsia" w:hAnsi="Cambria Math" w:cs="Times New Roman"/>
                        <w:szCs w:val="20"/>
                      </w:rPr>
                      <m:t>s</m:t>
                    </m:r>
                  </m:sub>
                </m:sSub>
              </m:e>
            </m:d>
            <m:r>
              <w:rPr>
                <w:rFonts w:ascii="Cambria Math" w:eastAsiaTheme="minorEastAsia" w:hAnsi="Cambria Math" w:cs="Times New Roman"/>
                <w:szCs w:val="20"/>
              </w:rPr>
              <m:t>+</m:t>
            </m:r>
            <m:f>
              <m:fPr>
                <m:ctrlPr>
                  <w:rPr>
                    <w:rFonts w:ascii="Cambria Math" w:eastAsiaTheme="minorEastAsia" w:hAnsi="Cambria Math" w:cs="Times New Roman"/>
                    <w:i/>
                    <w:szCs w:val="20"/>
                  </w:rPr>
                </m:ctrlPr>
              </m:fPr>
              <m:num>
                <m:sSup>
                  <m:sSupPr>
                    <m:ctrlPr>
                      <w:rPr>
                        <w:rFonts w:ascii="Cambria Math" w:eastAsiaTheme="minorEastAsia" w:hAnsi="Cambria Math" w:cs="Times New Roman"/>
                        <w:i/>
                        <w:szCs w:val="20"/>
                      </w:rPr>
                    </m:ctrlPr>
                  </m:sSupPr>
                  <m:e>
                    <m:d>
                      <m:dPr>
                        <m:ctrlPr>
                          <w:rPr>
                            <w:rFonts w:ascii="Cambria Math" w:eastAsiaTheme="minorEastAsia" w:hAnsi="Cambria Math" w:cs="Times New Roman"/>
                            <w:i/>
                            <w:szCs w:val="20"/>
                          </w:rPr>
                        </m:ctrlPr>
                      </m:dPr>
                      <m:e>
                        <m:rad>
                          <m:radPr>
                            <m:degHide m:val="1"/>
                            <m:ctrlPr>
                              <w:rPr>
                                <w:rFonts w:ascii="Cambria Math" w:eastAsiaTheme="minorEastAsia" w:hAnsi="Cambria Math" w:cs="Times New Roman"/>
                                <w:i/>
                                <w:szCs w:val="20"/>
                              </w:rPr>
                            </m:ctrlPr>
                          </m:radPr>
                          <m:deg/>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O</m:t>
                                </m:r>
                              </m:e>
                              <m:sub>
                                <m:r>
                                  <w:rPr>
                                    <w:rFonts w:ascii="Cambria Math" w:eastAsiaTheme="minorEastAsia" w:hAnsi="Cambria Math" w:cs="Times New Roman"/>
                                    <w:szCs w:val="20"/>
                                  </w:rPr>
                                  <m:t>s,i</m:t>
                                </m:r>
                              </m:sub>
                            </m:sSub>
                          </m:e>
                        </m:rad>
                        <m:r>
                          <w:rPr>
                            <w:rFonts w:ascii="Cambria Math" w:eastAsiaTheme="minorEastAsia" w:hAnsi="Cambria Math" w:cs="Times New Roman"/>
                            <w:szCs w:val="20"/>
                          </w:rPr>
                          <m:t>-</m:t>
                        </m:r>
                        <m:rad>
                          <m:radPr>
                            <m:degHide m:val="1"/>
                            <m:ctrlPr>
                              <w:rPr>
                                <w:rFonts w:ascii="Cambria Math" w:eastAsiaTheme="minorEastAsia" w:hAnsi="Cambria Math" w:cs="Times New Roman"/>
                                <w:i/>
                                <w:szCs w:val="20"/>
                              </w:rPr>
                            </m:ctrlPr>
                          </m:radPr>
                          <m:deg/>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P</m:t>
                                </m:r>
                              </m:e>
                              <m:sub>
                                <m:r>
                                  <w:rPr>
                                    <w:rFonts w:ascii="Cambria Math" w:eastAsiaTheme="minorEastAsia" w:hAnsi="Cambria Math" w:cs="Times New Roman"/>
                                    <w:szCs w:val="20"/>
                                  </w:rPr>
                                  <m:t>s,i</m:t>
                                </m:r>
                              </m:sub>
                            </m:sSub>
                          </m:e>
                        </m:rad>
                      </m:e>
                    </m:d>
                  </m:e>
                  <m:sup>
                    <m:r>
                      <w:rPr>
                        <w:rFonts w:ascii="Cambria Math" w:eastAsiaTheme="minorEastAsia" w:hAnsi="Cambria Math" w:cs="Times New Roman"/>
                        <w:szCs w:val="20"/>
                      </w:rPr>
                      <m:t>2</m:t>
                    </m:r>
                  </m:sup>
                </m:sSup>
              </m:num>
              <m:den>
                <m:r>
                  <w:rPr>
                    <w:rFonts w:ascii="Cambria Math" w:eastAsiaTheme="minorEastAsia" w:hAnsi="Cambria Math" w:cs="Times New Roman"/>
                    <w:szCs w:val="20"/>
                  </w:rPr>
                  <m:t>2</m:t>
                </m:r>
                <m:sSubSup>
                  <m:sSubSupPr>
                    <m:ctrlPr>
                      <w:rPr>
                        <w:rFonts w:ascii="Cambria Math" w:eastAsiaTheme="minorEastAsia" w:hAnsi="Cambria Math" w:cs="Times New Roman"/>
                        <w:i/>
                        <w:szCs w:val="20"/>
                      </w:rPr>
                    </m:ctrlPr>
                  </m:sSubSupPr>
                  <m:e>
                    <m:r>
                      <w:rPr>
                        <w:rFonts w:ascii="Cambria Math" w:eastAsiaTheme="minorEastAsia" w:hAnsi="Cambria Math" w:cs="Times New Roman"/>
                        <w:szCs w:val="20"/>
                      </w:rPr>
                      <m:t>σ</m:t>
                    </m:r>
                  </m:e>
                  <m:sub>
                    <m:r>
                      <w:rPr>
                        <w:rFonts w:ascii="Cambria Math" w:eastAsiaTheme="minorEastAsia" w:hAnsi="Cambria Math" w:cs="Times New Roman"/>
                        <w:szCs w:val="20"/>
                      </w:rPr>
                      <m:t>s</m:t>
                    </m:r>
                  </m:sub>
                  <m:sup>
                    <m:r>
                      <w:rPr>
                        <w:rFonts w:ascii="Cambria Math" w:eastAsiaTheme="minorEastAsia" w:hAnsi="Cambria Math" w:cs="Times New Roman"/>
                        <w:szCs w:val="20"/>
                      </w:rPr>
                      <m:t>2</m:t>
                    </m:r>
                  </m:sup>
                </m:sSubSup>
              </m:den>
            </m:f>
          </m:e>
        </m:nary>
      </m:oMath>
      <w:r w:rsidR="00144169">
        <w:rPr>
          <w:rFonts w:eastAsiaTheme="minorEastAsia" w:cs="Times New Roman"/>
          <w:szCs w:val="20"/>
        </w:rPr>
        <w:tab/>
      </w:r>
      <w:r w:rsidR="00144169">
        <w:rPr>
          <w:rFonts w:eastAsiaTheme="minorEastAsia" w:cs="Times New Roman"/>
          <w:szCs w:val="20"/>
        </w:rPr>
        <w:tab/>
      </w:r>
      <w:r w:rsidR="00144169">
        <w:rPr>
          <w:rFonts w:eastAsiaTheme="minorEastAsia" w:cs="Times New Roman"/>
          <w:szCs w:val="20"/>
        </w:rPr>
        <w:tab/>
      </w:r>
      <w:r w:rsidR="00144169">
        <w:rPr>
          <w:rFonts w:eastAsiaTheme="minorEastAsia" w:cs="Times New Roman"/>
          <w:szCs w:val="20"/>
        </w:rPr>
        <w:tab/>
      </w:r>
      <w:r w:rsidR="00144169">
        <w:rPr>
          <w:rFonts w:eastAsiaTheme="minorEastAsia" w:cs="Times New Roman"/>
          <w:szCs w:val="20"/>
        </w:rPr>
        <w:tab/>
      </w:r>
      <w:r w:rsidR="00144169">
        <w:rPr>
          <w:rFonts w:eastAsiaTheme="minorEastAsia" w:cs="Times New Roman"/>
          <w:szCs w:val="20"/>
        </w:rPr>
        <w:tab/>
      </w:r>
      <w:r w:rsidR="00144169">
        <w:rPr>
          <w:rFonts w:eastAsiaTheme="minorEastAsia" w:cs="Times New Roman"/>
          <w:szCs w:val="20"/>
        </w:rPr>
        <w:tab/>
      </w:r>
      <w:r w:rsidR="00144169">
        <w:rPr>
          <w:rFonts w:eastAsiaTheme="minorEastAsia" w:cs="Times New Roman"/>
          <w:szCs w:val="20"/>
        </w:rPr>
        <w:tab/>
        <w:t>(2)</w:t>
      </w:r>
    </w:p>
    <w:p w14:paraId="3D2C5D95" w14:textId="1D0C3B59" w:rsidR="009D5097" w:rsidRDefault="009D5097" w:rsidP="002D2024">
      <w:pPr>
        <w:rPr>
          <w:rFonts w:eastAsiaTheme="minorEastAsia" w:cs="Times New Roman"/>
          <w:szCs w:val="20"/>
        </w:rPr>
      </w:pPr>
    </w:p>
    <w:p w14:paraId="794D773B" w14:textId="67FE6650" w:rsidR="009D5097" w:rsidRDefault="00CB06F8" w:rsidP="002D2024">
      <w:pPr>
        <w:rPr>
          <w:rFonts w:eastAsiaTheme="minorEastAsia" w:cs="Times New Roman"/>
          <w:szCs w:val="20"/>
        </w:rPr>
      </w:pPr>
      <w:r>
        <w:rPr>
          <w:rFonts w:eastAsiaTheme="minorEastAsia" w:cs="Times New Roman"/>
          <w:szCs w:val="20"/>
        </w:rPr>
        <w:t>w</w:t>
      </w:r>
      <w:r w:rsidR="009D5097">
        <w:rPr>
          <w:rFonts w:eastAsiaTheme="minorEastAsia" w:cs="Times New Roman"/>
          <w:szCs w:val="20"/>
        </w:rPr>
        <w:t xml:space="preserve">here </w:t>
      </w:r>
      <w:r w:rsidR="009D5097" w:rsidRPr="001637E4">
        <w:rPr>
          <w:rFonts w:eastAsiaTheme="minorEastAsia" w:cs="Times New Roman"/>
          <w:i/>
          <w:szCs w:val="20"/>
        </w:rPr>
        <w:t>σ</w:t>
      </w:r>
      <w:r w:rsidR="009D5097">
        <w:rPr>
          <w:rFonts w:eastAsiaTheme="minorEastAsia" w:cs="Times New Roman"/>
          <w:szCs w:val="20"/>
        </w:rPr>
        <w:t xml:space="preserve"> is the </w:t>
      </w:r>
      <w:r w:rsidR="003B457A">
        <w:rPr>
          <w:rFonts w:eastAsiaTheme="minorEastAsia" w:cs="Times New Roman"/>
          <w:szCs w:val="20"/>
        </w:rPr>
        <w:t xml:space="preserve">observation </w:t>
      </w:r>
      <w:r w:rsidR="009D5097">
        <w:rPr>
          <w:rFonts w:eastAsiaTheme="minorEastAsia" w:cs="Times New Roman"/>
          <w:szCs w:val="20"/>
        </w:rPr>
        <w:t>variance term</w:t>
      </w:r>
      <w:r>
        <w:rPr>
          <w:rFonts w:eastAsiaTheme="minorEastAsia" w:cs="Times New Roman"/>
          <w:szCs w:val="20"/>
        </w:rPr>
        <w:t>.</w:t>
      </w:r>
      <w:r w:rsidR="00AE25A0">
        <w:rPr>
          <w:rFonts w:eastAsiaTheme="minorEastAsia" w:cs="Times New Roman"/>
          <w:szCs w:val="20"/>
        </w:rPr>
        <w:t xml:space="preserve"> The square root transformation was used as this renders a binomial-like distribution approximately normal.</w:t>
      </w:r>
    </w:p>
    <w:p w14:paraId="130D68EF" w14:textId="6347CD2F" w:rsidR="003B457A" w:rsidRDefault="003B457A" w:rsidP="002D2024">
      <w:pPr>
        <w:rPr>
          <w:rFonts w:eastAsiaTheme="minorEastAsia" w:cs="Times New Roman"/>
          <w:szCs w:val="20"/>
        </w:rPr>
      </w:pPr>
    </w:p>
    <w:p w14:paraId="3B351586" w14:textId="7E878939" w:rsidR="00D34BE4" w:rsidRDefault="00D34BE4" w:rsidP="002D2024">
      <w:pPr>
        <w:rPr>
          <w:rFonts w:eastAsiaTheme="minorEastAsia" w:cs="Times New Roman"/>
          <w:szCs w:val="20"/>
        </w:rPr>
      </w:pPr>
    </w:p>
    <w:p w14:paraId="1698924F" w14:textId="77777777" w:rsidR="00E42EE8" w:rsidRPr="00E42EE8" w:rsidRDefault="00E42EE8" w:rsidP="002D2024">
      <w:pPr>
        <w:rPr>
          <w:rFonts w:cs="Times New Roman"/>
          <w:szCs w:val="20"/>
        </w:rPr>
      </w:pPr>
    </w:p>
    <w:p w14:paraId="306C03E3" w14:textId="2D309670" w:rsidR="002052B9" w:rsidRDefault="003479AD" w:rsidP="00E42EE8">
      <w:pPr>
        <w:ind w:left="720"/>
        <w:rPr>
          <w:rFonts w:cs="Times New Roman"/>
          <w:b/>
          <w:szCs w:val="20"/>
        </w:rPr>
      </w:pPr>
      <w:r>
        <w:rPr>
          <w:rFonts w:cs="Times New Roman"/>
          <w:b/>
          <w:noProof/>
          <w:szCs w:val="20"/>
          <w:lang w:val="en-US"/>
        </w:rPr>
        <w:drawing>
          <wp:inline distT="0" distB="0" distL="0" distR="0" wp14:anchorId="3C08216D" wp14:editId="162BEA27">
            <wp:extent cx="3299963" cy="38499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thod_descripti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06333" cy="3857389"/>
                    </a:xfrm>
                    <a:prstGeom prst="rect">
                      <a:avLst/>
                    </a:prstGeom>
                  </pic:spPr>
                </pic:pic>
              </a:graphicData>
            </a:graphic>
          </wp:inline>
        </w:drawing>
      </w:r>
    </w:p>
    <w:p w14:paraId="4F798579" w14:textId="6AE97602" w:rsidR="008713D4" w:rsidRDefault="008713D4" w:rsidP="00E42EE8">
      <w:pPr>
        <w:ind w:left="720"/>
        <w:rPr>
          <w:rFonts w:cs="Times New Roman"/>
          <w:b/>
          <w:szCs w:val="20"/>
        </w:rPr>
      </w:pPr>
    </w:p>
    <w:p w14:paraId="1B9148A6" w14:textId="3D2442EB" w:rsidR="008713D4" w:rsidRDefault="008713D4" w:rsidP="00E42EE8">
      <w:pPr>
        <w:ind w:left="720"/>
        <w:jc w:val="both"/>
        <w:rPr>
          <w:szCs w:val="20"/>
        </w:rPr>
      </w:pPr>
      <w:r w:rsidRPr="00CD3F42">
        <w:rPr>
          <w:b/>
          <w:szCs w:val="20"/>
        </w:rPr>
        <w:t xml:space="preserve">Figure </w:t>
      </w:r>
      <w:r>
        <w:rPr>
          <w:b/>
          <w:szCs w:val="20"/>
        </w:rPr>
        <w:t>3</w:t>
      </w:r>
      <w:r>
        <w:rPr>
          <w:szCs w:val="20"/>
        </w:rPr>
        <w:t xml:space="preserve">. </w:t>
      </w:r>
      <w:r w:rsidR="00C309DA">
        <w:rPr>
          <w:szCs w:val="20"/>
        </w:rPr>
        <w:t xml:space="preserve">An illustrative example of the mixture distribution approach that </w:t>
      </w:r>
      <w:r>
        <w:rPr>
          <w:szCs w:val="20"/>
        </w:rPr>
        <w:t xml:space="preserve">combines fractions of assignment distributions from natal areas </w:t>
      </w:r>
      <w:r w:rsidR="003479AD">
        <w:rPr>
          <w:szCs w:val="20"/>
        </w:rPr>
        <w:t>(</w:t>
      </w:r>
      <w:r w:rsidR="009D5097">
        <w:rPr>
          <w:i/>
          <w:szCs w:val="20"/>
        </w:rPr>
        <w:t>W</w:t>
      </w:r>
      <w:r w:rsidR="003479AD">
        <w:rPr>
          <w:szCs w:val="20"/>
        </w:rPr>
        <w:t xml:space="preserve">, blue; </w:t>
      </w:r>
      <w:r w:rsidR="009D5097">
        <w:rPr>
          <w:i/>
          <w:szCs w:val="20"/>
        </w:rPr>
        <w:t>E</w:t>
      </w:r>
      <w:r w:rsidR="003479AD">
        <w:rPr>
          <w:szCs w:val="20"/>
        </w:rPr>
        <w:t xml:space="preserve"> red) </w:t>
      </w:r>
      <w:r>
        <w:rPr>
          <w:szCs w:val="20"/>
        </w:rPr>
        <w:t>(top</w:t>
      </w:r>
      <w:r w:rsidR="007C525F">
        <w:rPr>
          <w:szCs w:val="20"/>
        </w:rPr>
        <w:t xml:space="preserve"> panel</w:t>
      </w:r>
      <w:r>
        <w:rPr>
          <w:szCs w:val="20"/>
        </w:rPr>
        <w:t xml:space="preserve">) to describe a mixture distribution </w:t>
      </w:r>
      <w:r w:rsidR="009D5097">
        <w:rPr>
          <w:szCs w:val="20"/>
        </w:rPr>
        <w:t>(</w:t>
      </w:r>
      <w:r w:rsidR="009D5097" w:rsidRPr="009D5097">
        <w:rPr>
          <w:i/>
          <w:szCs w:val="20"/>
        </w:rPr>
        <w:t>P</w:t>
      </w:r>
      <w:r w:rsidR="009D5097">
        <w:rPr>
          <w:szCs w:val="20"/>
        </w:rPr>
        <w:t xml:space="preserve">) </w:t>
      </w:r>
      <w:r w:rsidR="007C525F">
        <w:rPr>
          <w:szCs w:val="20"/>
        </w:rPr>
        <w:t xml:space="preserve">(purple line, bottom panel) </w:t>
      </w:r>
      <w:r>
        <w:rPr>
          <w:szCs w:val="20"/>
        </w:rPr>
        <w:t>that fits the observed assignment data</w:t>
      </w:r>
      <w:r w:rsidR="003479AD">
        <w:rPr>
          <w:szCs w:val="20"/>
        </w:rPr>
        <w:t xml:space="preserve"> (</w:t>
      </w:r>
      <m:oMath>
        <m:r>
          <w:rPr>
            <w:rFonts w:ascii="Cambria Math" w:hAnsi="Cambria Math" w:cs="Times New Roman"/>
            <w:szCs w:val="20"/>
          </w:rPr>
          <m:t>O</m:t>
        </m:r>
      </m:oMath>
      <w:r w:rsidR="003479AD">
        <w:rPr>
          <w:rFonts w:eastAsiaTheme="minorEastAsia"/>
          <w:szCs w:val="20"/>
        </w:rPr>
        <w:t>)</w:t>
      </w:r>
      <w:r w:rsidR="007C525F">
        <w:rPr>
          <w:szCs w:val="20"/>
        </w:rPr>
        <w:t xml:space="preserve"> (grey bars)</w:t>
      </w:r>
      <w:r>
        <w:rPr>
          <w:szCs w:val="20"/>
        </w:rPr>
        <w:t xml:space="preserve"> in a mixed strat</w:t>
      </w:r>
      <w:r w:rsidR="00EA4838">
        <w:rPr>
          <w:szCs w:val="20"/>
        </w:rPr>
        <w:t>um</w:t>
      </w:r>
      <w:r>
        <w:rPr>
          <w:szCs w:val="20"/>
        </w:rPr>
        <w:t xml:space="preserve">. </w:t>
      </w:r>
    </w:p>
    <w:p w14:paraId="6DD0FD42" w14:textId="77777777" w:rsidR="002052B9" w:rsidRDefault="002052B9" w:rsidP="002D2024">
      <w:pPr>
        <w:rPr>
          <w:rFonts w:cs="Times New Roman"/>
          <w:b/>
          <w:szCs w:val="20"/>
        </w:rPr>
      </w:pPr>
    </w:p>
    <w:p w14:paraId="44CC206D" w14:textId="77777777" w:rsidR="00C85272" w:rsidRPr="00B105AE" w:rsidRDefault="00C85272" w:rsidP="002D2024">
      <w:pPr>
        <w:rPr>
          <w:rFonts w:cs="Times New Roman"/>
          <w:b/>
          <w:szCs w:val="20"/>
        </w:rPr>
      </w:pPr>
    </w:p>
    <w:p w14:paraId="2F6BDCAC" w14:textId="2DB6D337" w:rsidR="00684B5F" w:rsidRDefault="00684B5F" w:rsidP="002D2024">
      <w:pPr>
        <w:jc w:val="both"/>
        <w:rPr>
          <w:szCs w:val="20"/>
        </w:rPr>
      </w:pPr>
    </w:p>
    <w:p w14:paraId="59D1B274" w14:textId="68667E40" w:rsidR="001176BF" w:rsidRDefault="00C01DF3" w:rsidP="00C01DF3">
      <w:pPr>
        <w:pStyle w:val="Heading1"/>
      </w:pPr>
      <w:r>
        <w:t>Results</w:t>
      </w:r>
    </w:p>
    <w:p w14:paraId="58831FBE" w14:textId="74C4A9C0" w:rsidR="00C01DF3" w:rsidRDefault="00C01DF3" w:rsidP="002D2024">
      <w:pPr>
        <w:jc w:val="both"/>
        <w:rPr>
          <w:szCs w:val="20"/>
        </w:rPr>
      </w:pPr>
    </w:p>
    <w:p w14:paraId="37B11D9E" w14:textId="315A243D" w:rsidR="00A6622D" w:rsidRDefault="00A6622D" w:rsidP="002D2024">
      <w:pPr>
        <w:jc w:val="both"/>
        <w:rPr>
          <w:szCs w:val="20"/>
        </w:rPr>
      </w:pPr>
      <w:r>
        <w:rPr>
          <w:szCs w:val="20"/>
        </w:rPr>
        <w:t xml:space="preserve">By accounting for the uncertainty in assignments </w:t>
      </w:r>
      <w:r w:rsidR="00E177BE">
        <w:rPr>
          <w:szCs w:val="20"/>
        </w:rPr>
        <w:t xml:space="preserve">seen in stock-specific </w:t>
      </w:r>
      <w:r>
        <w:rPr>
          <w:szCs w:val="20"/>
        </w:rPr>
        <w:t>natal areas, the mixture modelling approach provides more certain estimates of stock-of-origin for mixed areas (Table 3</w:t>
      </w:r>
      <w:r w:rsidR="00BC796E">
        <w:rPr>
          <w:szCs w:val="20"/>
        </w:rPr>
        <w:t>, Figure</w:t>
      </w:r>
      <w:r w:rsidR="00000C15">
        <w:rPr>
          <w:szCs w:val="20"/>
        </w:rPr>
        <w:t>s 4, 5 and 6</w:t>
      </w:r>
      <w:r>
        <w:rPr>
          <w:szCs w:val="20"/>
        </w:rPr>
        <w:t>). For example</w:t>
      </w:r>
      <w:r w:rsidR="008979E1">
        <w:rPr>
          <w:szCs w:val="20"/>
        </w:rPr>
        <w:t>,</w:t>
      </w:r>
      <w:r>
        <w:rPr>
          <w:szCs w:val="20"/>
        </w:rPr>
        <w:t xml:space="preserve"> for the East Atlantic (EATL) where the </w:t>
      </w:r>
      <w:r w:rsidR="001637E4">
        <w:rPr>
          <w:szCs w:val="20"/>
        </w:rPr>
        <w:t>raw assignment scores</w:t>
      </w:r>
      <w:r>
        <w:rPr>
          <w:szCs w:val="20"/>
        </w:rPr>
        <w:t xml:space="preserve"> and the 30-70% cut-off approach include 9/10 assignments in the ranges [55%, 97%] and [71%, 97%]</w:t>
      </w:r>
      <w:r w:rsidR="001637E4">
        <w:rPr>
          <w:szCs w:val="20"/>
        </w:rPr>
        <w:t>,</w:t>
      </w:r>
      <w:r>
        <w:rPr>
          <w:szCs w:val="20"/>
        </w:rPr>
        <w:t xml:space="preserve"> the </w:t>
      </w:r>
      <w:r w:rsidR="00E177BE">
        <w:rPr>
          <w:szCs w:val="20"/>
        </w:rPr>
        <w:t xml:space="preserve">mixture model infers </w:t>
      </w:r>
      <w:r>
        <w:rPr>
          <w:szCs w:val="20"/>
        </w:rPr>
        <w:t xml:space="preserve">a much lower </w:t>
      </w:r>
      <w:r w:rsidR="00E177BE">
        <w:rPr>
          <w:szCs w:val="20"/>
        </w:rPr>
        <w:t>proportion</w:t>
      </w:r>
      <w:r>
        <w:rPr>
          <w:szCs w:val="20"/>
        </w:rPr>
        <w:t xml:space="preserve"> of </w:t>
      </w:r>
      <w:r w:rsidR="002E04AB">
        <w:rPr>
          <w:szCs w:val="20"/>
        </w:rPr>
        <w:t>W</w:t>
      </w:r>
      <w:r>
        <w:rPr>
          <w:szCs w:val="20"/>
        </w:rPr>
        <w:t xml:space="preserve">estern fish with 9/10 assignments in the range of [98%, 99%].  </w:t>
      </w:r>
    </w:p>
    <w:p w14:paraId="03233761" w14:textId="79102E58" w:rsidR="00A6622D" w:rsidRDefault="00A6622D" w:rsidP="002D2024">
      <w:pPr>
        <w:jc w:val="both"/>
        <w:rPr>
          <w:szCs w:val="20"/>
        </w:rPr>
      </w:pPr>
    </w:p>
    <w:p w14:paraId="7CCEE951" w14:textId="33280059" w:rsidR="00A6622D" w:rsidRDefault="00A6622D" w:rsidP="002D2024">
      <w:pPr>
        <w:jc w:val="both"/>
        <w:rPr>
          <w:szCs w:val="20"/>
        </w:rPr>
      </w:pPr>
      <w:r>
        <w:rPr>
          <w:szCs w:val="20"/>
        </w:rPr>
        <w:t xml:space="preserve">The new approach </w:t>
      </w:r>
      <w:r w:rsidR="001637E4">
        <w:rPr>
          <w:szCs w:val="20"/>
        </w:rPr>
        <w:t>discards</w:t>
      </w:r>
      <w:r>
        <w:rPr>
          <w:szCs w:val="20"/>
        </w:rPr>
        <w:t xml:space="preserve"> considerably fewer of the otolith chemistry data than the </w:t>
      </w:r>
      <w:r w:rsidR="008979E1">
        <w:rPr>
          <w:szCs w:val="20"/>
        </w:rPr>
        <w:t>30-70 cut-off approach, losing around</w:t>
      </w:r>
      <w:r w:rsidR="00EB54FD">
        <w:rPr>
          <w:szCs w:val="20"/>
        </w:rPr>
        <w:t xml:space="preserve"> an additional</w:t>
      </w:r>
      <w:r w:rsidR="008979E1">
        <w:rPr>
          <w:szCs w:val="20"/>
        </w:rPr>
        <w:t xml:space="preserve"> 1% of the raw data </w:t>
      </w:r>
      <w:r w:rsidR="00EB54FD">
        <w:rPr>
          <w:szCs w:val="20"/>
        </w:rPr>
        <w:t xml:space="preserve">(once Genetics </w:t>
      </w:r>
      <w:r w:rsidR="00AB41CA">
        <w:rPr>
          <w:szCs w:val="20"/>
        </w:rPr>
        <w:t xml:space="preserve">data </w:t>
      </w:r>
      <w:r w:rsidR="00EB54FD">
        <w:rPr>
          <w:szCs w:val="20"/>
        </w:rPr>
        <w:t xml:space="preserve">are discarded) </w:t>
      </w:r>
      <w:r w:rsidR="002E04AB">
        <w:rPr>
          <w:szCs w:val="20"/>
        </w:rPr>
        <w:t>in contrast</w:t>
      </w:r>
      <w:r w:rsidR="008979E1">
        <w:rPr>
          <w:szCs w:val="20"/>
        </w:rPr>
        <w:t xml:space="preserve"> to </w:t>
      </w:r>
      <w:r w:rsidR="00EB54FD">
        <w:rPr>
          <w:szCs w:val="20"/>
        </w:rPr>
        <w:t>18</w:t>
      </w:r>
      <w:r w:rsidR="008979E1">
        <w:rPr>
          <w:szCs w:val="20"/>
        </w:rPr>
        <w:t xml:space="preserve">% for the 30-70 cut off approach. </w:t>
      </w:r>
    </w:p>
    <w:p w14:paraId="2CA567B1" w14:textId="6087B93B" w:rsidR="008979E1" w:rsidRDefault="008979E1" w:rsidP="002D2024">
      <w:pPr>
        <w:jc w:val="both"/>
        <w:rPr>
          <w:szCs w:val="20"/>
        </w:rPr>
      </w:pPr>
    </w:p>
    <w:p w14:paraId="51D9F4A8" w14:textId="51AC7478" w:rsidR="008979E1" w:rsidRDefault="008979E1" w:rsidP="002D2024">
      <w:pPr>
        <w:jc w:val="both"/>
        <w:rPr>
          <w:szCs w:val="20"/>
        </w:rPr>
      </w:pPr>
      <w:r>
        <w:rPr>
          <w:szCs w:val="20"/>
        </w:rPr>
        <w:t xml:space="preserve">In general, the mixture model </w:t>
      </w:r>
      <w:r w:rsidR="004870C9">
        <w:rPr>
          <w:szCs w:val="20"/>
        </w:rPr>
        <w:t>provide</w:t>
      </w:r>
      <w:r w:rsidR="00AB41CA">
        <w:rPr>
          <w:szCs w:val="20"/>
        </w:rPr>
        <w:t>s</w:t>
      </w:r>
      <w:r w:rsidR="004870C9">
        <w:rPr>
          <w:szCs w:val="20"/>
        </w:rPr>
        <w:t xml:space="preserve"> a reasonable fit to the assignment data of mixed strata (Figure</w:t>
      </w:r>
      <w:r w:rsidR="00000C15">
        <w:rPr>
          <w:szCs w:val="20"/>
        </w:rPr>
        <w:t>s</w:t>
      </w:r>
      <w:r w:rsidR="004870C9">
        <w:rPr>
          <w:szCs w:val="20"/>
        </w:rPr>
        <w:t xml:space="preserve"> 4</w:t>
      </w:r>
      <w:r w:rsidR="00000C15">
        <w:rPr>
          <w:szCs w:val="20"/>
        </w:rPr>
        <w:t xml:space="preserve"> and 5</w:t>
      </w:r>
      <w:r w:rsidR="004870C9">
        <w:rPr>
          <w:szCs w:val="20"/>
        </w:rPr>
        <w:t>). The approach d</w:t>
      </w:r>
      <w:r w:rsidR="00AB41CA">
        <w:rPr>
          <w:szCs w:val="20"/>
        </w:rPr>
        <w:t>oes</w:t>
      </w:r>
      <w:r w:rsidR="004870C9">
        <w:rPr>
          <w:szCs w:val="20"/>
        </w:rPr>
        <w:t xml:space="preserve"> however </w:t>
      </w:r>
      <w:r>
        <w:rPr>
          <w:szCs w:val="20"/>
        </w:rPr>
        <w:t>struggle to fit unimodal distributions of assignment data where the mode was of intermediate magnitude (e.g. between 20% and 80%, Figure</w:t>
      </w:r>
      <w:r w:rsidR="00000C15">
        <w:rPr>
          <w:szCs w:val="20"/>
        </w:rPr>
        <w:t>s</w:t>
      </w:r>
      <w:r>
        <w:rPr>
          <w:szCs w:val="20"/>
        </w:rPr>
        <w:t xml:space="preserve"> 4</w:t>
      </w:r>
      <w:r w:rsidR="00000C15">
        <w:rPr>
          <w:szCs w:val="20"/>
        </w:rPr>
        <w:t xml:space="preserve"> and 5</w:t>
      </w:r>
      <w:r>
        <w:rPr>
          <w:szCs w:val="20"/>
        </w:rPr>
        <w:t xml:space="preserve">). This is a </w:t>
      </w:r>
      <w:r w:rsidR="002E04AB">
        <w:rPr>
          <w:szCs w:val="20"/>
        </w:rPr>
        <w:t>consequence</w:t>
      </w:r>
      <w:r>
        <w:rPr>
          <w:szCs w:val="20"/>
        </w:rPr>
        <w:t xml:space="preserve"> of having two natal distributions </w:t>
      </w:r>
      <w:r w:rsidRPr="009016C4">
        <w:rPr>
          <w:i/>
          <w:szCs w:val="20"/>
        </w:rPr>
        <w:t>E</w:t>
      </w:r>
      <w:r>
        <w:rPr>
          <w:szCs w:val="20"/>
        </w:rPr>
        <w:t xml:space="preserve"> and </w:t>
      </w:r>
      <w:r w:rsidRPr="009016C4">
        <w:rPr>
          <w:i/>
          <w:szCs w:val="20"/>
        </w:rPr>
        <w:t>W</w:t>
      </w:r>
      <w:r w:rsidR="009016C4">
        <w:rPr>
          <w:szCs w:val="20"/>
        </w:rPr>
        <w:t xml:space="preserve"> that are strongly skewed, </w:t>
      </w:r>
      <w:r>
        <w:rPr>
          <w:szCs w:val="20"/>
        </w:rPr>
        <w:t xml:space="preserve">for which it is </w:t>
      </w:r>
      <w:r w:rsidR="002E04AB">
        <w:rPr>
          <w:szCs w:val="20"/>
        </w:rPr>
        <w:t>difficult</w:t>
      </w:r>
      <w:r>
        <w:rPr>
          <w:szCs w:val="20"/>
        </w:rPr>
        <w:t xml:space="preserve"> to de</w:t>
      </w:r>
      <w:r w:rsidR="00AB41CA">
        <w:rPr>
          <w:szCs w:val="20"/>
        </w:rPr>
        <w:t>velop</w:t>
      </w:r>
      <w:r>
        <w:rPr>
          <w:szCs w:val="20"/>
        </w:rPr>
        <w:t xml:space="preserve"> a combination distribution with a single mode of intermediate magnitude. </w:t>
      </w:r>
      <w:bookmarkStart w:id="0" w:name="_GoBack"/>
      <w:bookmarkEnd w:id="0"/>
    </w:p>
    <w:p w14:paraId="37D67EEC" w14:textId="1D763033" w:rsidR="00DE3A0C" w:rsidRDefault="007C4BE8" w:rsidP="002D2024">
      <w:pPr>
        <w:jc w:val="both"/>
        <w:rPr>
          <w:b/>
          <w:szCs w:val="20"/>
        </w:rPr>
      </w:pPr>
      <w:r>
        <w:rPr>
          <w:b/>
          <w:noProof/>
          <w:szCs w:val="20"/>
          <w:lang w:val="en-US"/>
        </w:rPr>
        <w:lastRenderedPageBreak/>
        <w:drawing>
          <wp:inline distT="0" distB="0" distL="0" distR="0" wp14:anchorId="5A23D6B0" wp14:editId="5A06D829">
            <wp:extent cx="5765800" cy="8456761"/>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rivedSOO_SE_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9170" cy="8476371"/>
                    </a:xfrm>
                    <a:prstGeom prst="rect">
                      <a:avLst/>
                    </a:prstGeom>
                  </pic:spPr>
                </pic:pic>
              </a:graphicData>
            </a:graphic>
          </wp:inline>
        </w:drawing>
      </w:r>
    </w:p>
    <w:p w14:paraId="595C5545" w14:textId="46401F78" w:rsidR="00DE3A0C" w:rsidRDefault="00DE3A0C" w:rsidP="002D2024">
      <w:pPr>
        <w:jc w:val="both"/>
        <w:rPr>
          <w:b/>
          <w:szCs w:val="20"/>
        </w:rPr>
      </w:pPr>
    </w:p>
    <w:p w14:paraId="25040B8C" w14:textId="050A6A61" w:rsidR="00DE3A0C" w:rsidRDefault="004D0D44" w:rsidP="002D2024">
      <w:pPr>
        <w:jc w:val="both"/>
        <w:rPr>
          <w:szCs w:val="20"/>
        </w:rPr>
      </w:pPr>
      <w:r>
        <w:rPr>
          <w:b/>
          <w:szCs w:val="20"/>
        </w:rPr>
        <w:t xml:space="preserve">Figure 4. </w:t>
      </w:r>
      <w:r>
        <w:rPr>
          <w:szCs w:val="20"/>
        </w:rPr>
        <w:t xml:space="preserve">Fitted mixture distributions for all </w:t>
      </w:r>
      <w:r w:rsidR="007C4BE8">
        <w:rPr>
          <w:szCs w:val="20"/>
        </w:rPr>
        <w:t>108</w:t>
      </w:r>
      <w:r>
        <w:rPr>
          <w:szCs w:val="20"/>
        </w:rPr>
        <w:t xml:space="preserve"> strata (years, areas, quarters and age classes) for which more than 5 assignment data were available </w:t>
      </w:r>
      <w:r w:rsidR="007C4BE8">
        <w:rPr>
          <w:szCs w:val="20"/>
        </w:rPr>
        <w:t xml:space="preserve">and </w:t>
      </w:r>
      <w:r>
        <w:rPr>
          <w:szCs w:val="20"/>
        </w:rPr>
        <w:t>derived by otolith microchemistry analysis. Grey bars are the observed frequencies of assignment data</w:t>
      </w:r>
      <w:r w:rsidR="00A6622D">
        <w:rPr>
          <w:szCs w:val="20"/>
        </w:rPr>
        <w:t xml:space="preserve"> (</w:t>
      </w:r>
      <w:r w:rsidR="00A6622D" w:rsidRPr="00A6622D">
        <w:rPr>
          <w:i/>
          <w:szCs w:val="20"/>
        </w:rPr>
        <w:t>O</w:t>
      </w:r>
      <w:r w:rsidR="00A6622D">
        <w:rPr>
          <w:szCs w:val="20"/>
        </w:rPr>
        <w:t>)</w:t>
      </w:r>
      <w:r>
        <w:rPr>
          <w:szCs w:val="20"/>
        </w:rPr>
        <w:t>, purple lines are the fitted mixture distribution</w:t>
      </w:r>
      <w:r w:rsidR="00A6622D">
        <w:rPr>
          <w:szCs w:val="20"/>
        </w:rPr>
        <w:t>s (</w:t>
      </w:r>
      <w:r w:rsidR="00A6622D" w:rsidRPr="00A6622D">
        <w:rPr>
          <w:i/>
          <w:szCs w:val="20"/>
        </w:rPr>
        <w:t>P</w:t>
      </w:r>
      <w:r w:rsidR="00A6622D">
        <w:rPr>
          <w:szCs w:val="20"/>
        </w:rPr>
        <w:t>)</w:t>
      </w:r>
      <w:r>
        <w:rPr>
          <w:szCs w:val="20"/>
        </w:rPr>
        <w:t xml:space="preserve">. In each panel the fraction of </w:t>
      </w:r>
      <w:r w:rsidR="00AB41CA">
        <w:rPr>
          <w:szCs w:val="20"/>
        </w:rPr>
        <w:t>Ea</w:t>
      </w:r>
      <w:r>
        <w:rPr>
          <w:szCs w:val="20"/>
        </w:rPr>
        <w:t>stern fish is reported (</w:t>
      </w:r>
      <w:r w:rsidRPr="00C261D3">
        <w:rPr>
          <w:i/>
          <w:szCs w:val="20"/>
        </w:rPr>
        <w:t>R</w:t>
      </w:r>
      <w:r>
        <w:rPr>
          <w:szCs w:val="20"/>
        </w:rPr>
        <w:t>).</w:t>
      </w:r>
      <w:r w:rsidR="00C261D3">
        <w:rPr>
          <w:szCs w:val="20"/>
        </w:rPr>
        <w:t xml:space="preserve"> The square bracketed numbers represent the 95% confidence interval for </w:t>
      </w:r>
      <w:r w:rsidR="00C261D3" w:rsidRPr="00C261D3">
        <w:rPr>
          <w:i/>
          <w:szCs w:val="20"/>
        </w:rPr>
        <w:t>R</w:t>
      </w:r>
      <w:r w:rsidR="00C261D3">
        <w:rPr>
          <w:szCs w:val="20"/>
        </w:rPr>
        <w:t xml:space="preserve">. </w:t>
      </w:r>
    </w:p>
    <w:p w14:paraId="7B9FAE87" w14:textId="37F76016" w:rsidR="00CF7438" w:rsidRDefault="00CF7438" w:rsidP="002D2024">
      <w:pPr>
        <w:jc w:val="both"/>
        <w:rPr>
          <w:szCs w:val="20"/>
        </w:rPr>
      </w:pPr>
    </w:p>
    <w:p w14:paraId="282E0D53" w14:textId="09C2011F" w:rsidR="00CF7438" w:rsidRDefault="00CF7438" w:rsidP="002D2024">
      <w:pPr>
        <w:jc w:val="both"/>
        <w:rPr>
          <w:szCs w:val="20"/>
        </w:rPr>
      </w:pPr>
    </w:p>
    <w:p w14:paraId="72B1BF2D" w14:textId="2800150A" w:rsidR="00CF7438" w:rsidRDefault="00CF7438" w:rsidP="002D2024">
      <w:pPr>
        <w:jc w:val="both"/>
        <w:rPr>
          <w:szCs w:val="20"/>
        </w:rPr>
      </w:pPr>
    </w:p>
    <w:p w14:paraId="2633E57E" w14:textId="7DD49378" w:rsidR="00CF7438" w:rsidRDefault="00CF7438" w:rsidP="002D2024">
      <w:pPr>
        <w:jc w:val="both"/>
        <w:rPr>
          <w:szCs w:val="20"/>
        </w:rPr>
      </w:pPr>
      <w:r>
        <w:rPr>
          <w:noProof/>
          <w:szCs w:val="20"/>
          <w:lang w:val="en-US"/>
        </w:rPr>
        <w:drawing>
          <wp:inline distT="0" distB="0" distL="0" distR="0" wp14:anchorId="3322EF31" wp14:editId="73682807">
            <wp:extent cx="4953000" cy="39626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rivedSOO_SE_2_Genetic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4644" cy="3963934"/>
                    </a:xfrm>
                    <a:prstGeom prst="rect">
                      <a:avLst/>
                    </a:prstGeom>
                  </pic:spPr>
                </pic:pic>
              </a:graphicData>
            </a:graphic>
          </wp:inline>
        </w:drawing>
      </w:r>
    </w:p>
    <w:p w14:paraId="5F2A5768" w14:textId="7E6BC6F3" w:rsidR="00CF7438" w:rsidRPr="004D0D44" w:rsidRDefault="00CF7438" w:rsidP="002D2024">
      <w:pPr>
        <w:jc w:val="both"/>
        <w:rPr>
          <w:szCs w:val="20"/>
        </w:rPr>
      </w:pPr>
      <w:r w:rsidRPr="00CF7438">
        <w:rPr>
          <w:b/>
          <w:szCs w:val="20"/>
        </w:rPr>
        <w:t>Figure 5</w:t>
      </w:r>
      <w:r>
        <w:rPr>
          <w:szCs w:val="20"/>
        </w:rPr>
        <w:t xml:space="preserve">. As Figure 4 but based on the genetics assignment data. </w:t>
      </w:r>
    </w:p>
    <w:p w14:paraId="7C062ED1" w14:textId="77777777" w:rsidR="004D0D44" w:rsidRDefault="004D0D44" w:rsidP="002D2024">
      <w:pPr>
        <w:jc w:val="both"/>
        <w:rPr>
          <w:b/>
          <w:szCs w:val="20"/>
        </w:rPr>
      </w:pPr>
    </w:p>
    <w:p w14:paraId="3A9789D5" w14:textId="77777777" w:rsidR="00DE3A0C" w:rsidRDefault="00DE3A0C" w:rsidP="002D2024">
      <w:pPr>
        <w:jc w:val="both"/>
        <w:rPr>
          <w:b/>
          <w:szCs w:val="20"/>
        </w:rPr>
      </w:pPr>
    </w:p>
    <w:p w14:paraId="02F32727" w14:textId="1CFE2570" w:rsidR="003C27AE" w:rsidRDefault="003C27AE" w:rsidP="004C1F57">
      <w:pPr>
        <w:spacing w:after="120"/>
        <w:jc w:val="both"/>
        <w:rPr>
          <w:szCs w:val="20"/>
        </w:rPr>
      </w:pPr>
      <w:r>
        <w:rPr>
          <w:b/>
          <w:szCs w:val="20"/>
        </w:rPr>
        <w:t xml:space="preserve">Table </w:t>
      </w:r>
      <w:r w:rsidR="00A6622D">
        <w:rPr>
          <w:b/>
          <w:szCs w:val="20"/>
        </w:rPr>
        <w:t>3</w:t>
      </w:r>
      <w:r>
        <w:rPr>
          <w:b/>
          <w:szCs w:val="20"/>
        </w:rPr>
        <w:t xml:space="preserve">. </w:t>
      </w:r>
      <w:r w:rsidRPr="003C27AE">
        <w:rPr>
          <w:szCs w:val="20"/>
        </w:rPr>
        <w:t>The assignment scores by ocean area</w:t>
      </w:r>
      <w:r>
        <w:rPr>
          <w:szCs w:val="20"/>
        </w:rPr>
        <w:t xml:space="preserve"> for </w:t>
      </w:r>
      <w:r w:rsidRPr="003C27AE">
        <w:rPr>
          <w:szCs w:val="20"/>
        </w:rPr>
        <w:t xml:space="preserve">the raw, </w:t>
      </w:r>
      <w:r w:rsidR="00EA4838">
        <w:rPr>
          <w:szCs w:val="20"/>
        </w:rPr>
        <w:t xml:space="preserve">the </w:t>
      </w:r>
      <w:r w:rsidRPr="003C27AE">
        <w:rPr>
          <w:szCs w:val="20"/>
        </w:rPr>
        <w:t xml:space="preserve">30-70 cut-off and the new mixture distribution approach. The % raw data is lower than 100% for the raw approach since genetics assignment data are not included. The mixture distribution is lower than this again as it excludes any strata with fewer than 5 observations (too few to characterize a distribution). </w:t>
      </w:r>
      <w:r w:rsidR="00A6622D">
        <w:rPr>
          <w:szCs w:val="20"/>
        </w:rPr>
        <w:t xml:space="preserve">The mixture distribution approach assumes that GOM and MED fish are 0% and 100% Eastern respectively. </w:t>
      </w:r>
    </w:p>
    <w:p w14:paraId="5CEEF0D5" w14:textId="6BDBF3F0" w:rsidR="00786EFC" w:rsidRPr="003C27AE" w:rsidRDefault="00786EFC" w:rsidP="004C1F57">
      <w:pPr>
        <w:spacing w:after="120"/>
        <w:jc w:val="both"/>
        <w:rPr>
          <w:szCs w:val="20"/>
        </w:rPr>
      </w:pPr>
      <w:r w:rsidRPr="00786EFC">
        <w:rPr>
          <w:noProof/>
          <w:lang w:val="en-US"/>
        </w:rPr>
        <w:drawing>
          <wp:inline distT="0" distB="0" distL="0" distR="0" wp14:anchorId="246768F8" wp14:editId="25582AC4">
            <wp:extent cx="5732145" cy="187287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1872879"/>
                    </a:xfrm>
                    <a:prstGeom prst="rect">
                      <a:avLst/>
                    </a:prstGeom>
                    <a:noFill/>
                    <a:ln>
                      <a:noFill/>
                    </a:ln>
                  </pic:spPr>
                </pic:pic>
              </a:graphicData>
            </a:graphic>
          </wp:inline>
        </w:drawing>
      </w:r>
    </w:p>
    <w:p w14:paraId="1F0AABB0" w14:textId="16AA43F7" w:rsidR="003C27AE" w:rsidRDefault="003C27AE" w:rsidP="002D2024">
      <w:pPr>
        <w:jc w:val="both"/>
        <w:rPr>
          <w:b/>
          <w:szCs w:val="20"/>
        </w:rPr>
      </w:pPr>
    </w:p>
    <w:p w14:paraId="1B8329E1" w14:textId="11EA5503" w:rsidR="003C27AE" w:rsidRDefault="003C27AE" w:rsidP="002D2024">
      <w:pPr>
        <w:jc w:val="both"/>
        <w:rPr>
          <w:b/>
          <w:szCs w:val="20"/>
        </w:rPr>
      </w:pPr>
    </w:p>
    <w:p w14:paraId="65CC1760" w14:textId="44E1A165" w:rsidR="003C27AE" w:rsidRDefault="003C27AE" w:rsidP="002D2024">
      <w:pPr>
        <w:jc w:val="both"/>
        <w:rPr>
          <w:b/>
          <w:szCs w:val="20"/>
        </w:rPr>
      </w:pPr>
    </w:p>
    <w:p w14:paraId="1EF98692" w14:textId="77777777" w:rsidR="00BC796E" w:rsidRDefault="00BC796E" w:rsidP="002D2024">
      <w:pPr>
        <w:jc w:val="both"/>
        <w:rPr>
          <w:b/>
          <w:szCs w:val="20"/>
        </w:rPr>
      </w:pPr>
    </w:p>
    <w:p w14:paraId="73592A83" w14:textId="6276C2F6" w:rsidR="00C85272" w:rsidRDefault="00786EFC" w:rsidP="002D2024">
      <w:pPr>
        <w:jc w:val="both"/>
        <w:rPr>
          <w:b/>
          <w:szCs w:val="20"/>
        </w:rPr>
      </w:pPr>
      <w:r>
        <w:rPr>
          <w:b/>
          <w:noProof/>
          <w:szCs w:val="20"/>
          <w:lang w:val="en-US"/>
        </w:rPr>
        <w:lastRenderedPageBreak/>
        <w:drawing>
          <wp:inline distT="0" distB="0" distL="0" distR="0" wp14:anchorId="012242E5" wp14:editId="262A952A">
            <wp:extent cx="5732145" cy="1656080"/>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pplo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145" cy="1656080"/>
                    </a:xfrm>
                    <a:prstGeom prst="rect">
                      <a:avLst/>
                    </a:prstGeom>
                  </pic:spPr>
                </pic:pic>
              </a:graphicData>
            </a:graphic>
          </wp:inline>
        </w:drawing>
      </w:r>
    </w:p>
    <w:p w14:paraId="7A90D8B1" w14:textId="66C67A79" w:rsidR="00BC796E" w:rsidRDefault="000770F6" w:rsidP="002D2024">
      <w:pPr>
        <w:jc w:val="both"/>
        <w:rPr>
          <w:szCs w:val="20"/>
        </w:rPr>
      </w:pPr>
      <w:r>
        <w:rPr>
          <w:b/>
          <w:szCs w:val="20"/>
        </w:rPr>
        <w:t xml:space="preserve">Figure </w:t>
      </w:r>
      <w:r w:rsidR="00000C15">
        <w:rPr>
          <w:b/>
          <w:szCs w:val="20"/>
        </w:rPr>
        <w:t>6</w:t>
      </w:r>
      <w:r>
        <w:rPr>
          <w:b/>
          <w:szCs w:val="20"/>
        </w:rPr>
        <w:t xml:space="preserve">. </w:t>
      </w:r>
      <w:r w:rsidR="00BC796E">
        <w:rPr>
          <w:szCs w:val="20"/>
        </w:rPr>
        <w:t>The assignment scores (of Table 3) by oceans areas for the 30-70 cut-off approach and the mixture model. Black bars represent the 5</w:t>
      </w:r>
      <w:r w:rsidR="00BC796E" w:rsidRPr="00BC796E">
        <w:rPr>
          <w:szCs w:val="20"/>
          <w:vertAlign w:val="superscript"/>
        </w:rPr>
        <w:t>th</w:t>
      </w:r>
      <w:r w:rsidR="00BC796E">
        <w:rPr>
          <w:szCs w:val="20"/>
        </w:rPr>
        <w:t xml:space="preserve"> and 95</w:t>
      </w:r>
      <w:r w:rsidR="00BC796E" w:rsidRPr="00BC796E">
        <w:rPr>
          <w:szCs w:val="20"/>
          <w:vertAlign w:val="superscript"/>
        </w:rPr>
        <w:t>th</w:t>
      </w:r>
      <w:r w:rsidR="00BC796E">
        <w:rPr>
          <w:szCs w:val="20"/>
        </w:rPr>
        <w:t xml:space="preserve"> percentiles.</w:t>
      </w:r>
      <w:r w:rsidR="00832163">
        <w:rPr>
          <w:szCs w:val="20"/>
        </w:rPr>
        <w:t xml:space="preserve"> For the mixture model these are approximate, and based on the assumption that the square root transformation used in equation (2) provides distribution normality.</w:t>
      </w:r>
      <w:r w:rsidR="00BC796E">
        <w:rPr>
          <w:szCs w:val="20"/>
        </w:rPr>
        <w:t xml:space="preserve"> </w:t>
      </w:r>
    </w:p>
    <w:p w14:paraId="0CB76531" w14:textId="6E4224F6" w:rsidR="000770F6" w:rsidRPr="000770F6" w:rsidRDefault="00BC796E" w:rsidP="002D2024">
      <w:pPr>
        <w:jc w:val="both"/>
        <w:rPr>
          <w:szCs w:val="20"/>
        </w:rPr>
      </w:pPr>
      <w:r>
        <w:rPr>
          <w:szCs w:val="20"/>
        </w:rPr>
        <w:t xml:space="preserve"> </w:t>
      </w:r>
    </w:p>
    <w:p w14:paraId="2A2023FB" w14:textId="77777777" w:rsidR="000770F6" w:rsidRPr="00C01DF3" w:rsidRDefault="000770F6" w:rsidP="002D2024">
      <w:pPr>
        <w:jc w:val="both"/>
        <w:rPr>
          <w:b/>
          <w:szCs w:val="20"/>
        </w:rPr>
      </w:pPr>
    </w:p>
    <w:p w14:paraId="4B5D700F" w14:textId="7DE07496" w:rsidR="00C01DF3" w:rsidRDefault="00C85272" w:rsidP="00C85272">
      <w:pPr>
        <w:pStyle w:val="Heading1"/>
      </w:pPr>
      <w:r>
        <w:t>Discussion</w:t>
      </w:r>
    </w:p>
    <w:p w14:paraId="26E58D50" w14:textId="4F6B026A" w:rsidR="00C85272" w:rsidRDefault="00C85272" w:rsidP="00C85272"/>
    <w:p w14:paraId="7C0915A4" w14:textId="38DA4FC5" w:rsidR="00FE1731" w:rsidRDefault="004870C9" w:rsidP="00FE1731">
      <w:pPr>
        <w:jc w:val="both"/>
        <w:rPr>
          <w:szCs w:val="20"/>
        </w:rPr>
      </w:pPr>
      <w:r>
        <w:rPr>
          <w:szCs w:val="20"/>
        </w:rPr>
        <w:t>The current assignment data arising from genetics and otolith microchemistry analyses are highly variable even in areas that are thought to be exclusive to each stock</w:t>
      </w:r>
      <w:r w:rsidR="009016C4">
        <w:rPr>
          <w:szCs w:val="20"/>
        </w:rPr>
        <w:t xml:space="preserve"> (i.e. the Gulf of Mexico and the Mediterranean)</w:t>
      </w:r>
      <w:r>
        <w:rPr>
          <w:szCs w:val="20"/>
        </w:rPr>
        <w:t xml:space="preserve">. </w:t>
      </w:r>
      <w:r w:rsidR="00FE1731">
        <w:rPr>
          <w:szCs w:val="20"/>
        </w:rPr>
        <w:t xml:space="preserve">Not only does this </w:t>
      </w:r>
      <w:r w:rsidR="00832163">
        <w:rPr>
          <w:szCs w:val="20"/>
        </w:rPr>
        <w:t xml:space="preserve">imply </w:t>
      </w:r>
      <w:r w:rsidR="00FE1731">
        <w:rPr>
          <w:szCs w:val="20"/>
        </w:rPr>
        <w:t xml:space="preserve">a greater degree of stock mixing than is credible given other data, </w:t>
      </w:r>
      <w:r w:rsidR="00832163">
        <w:rPr>
          <w:szCs w:val="20"/>
        </w:rPr>
        <w:t xml:space="preserve">but importantly </w:t>
      </w:r>
      <w:r w:rsidR="00FE1731">
        <w:rPr>
          <w:szCs w:val="20"/>
        </w:rPr>
        <w:t xml:space="preserve">the impact on a multi-stock operating model could be </w:t>
      </w:r>
      <w:r>
        <w:rPr>
          <w:szCs w:val="20"/>
        </w:rPr>
        <w:t>relatively</w:t>
      </w:r>
      <w:r w:rsidR="00FE1731">
        <w:rPr>
          <w:szCs w:val="20"/>
        </w:rPr>
        <w:t xml:space="preserve"> large. This is particularly true in the case of Atlantic </w:t>
      </w:r>
      <w:r w:rsidR="009016C4">
        <w:rPr>
          <w:szCs w:val="20"/>
        </w:rPr>
        <w:t>b</w:t>
      </w:r>
      <w:r w:rsidR="00FE1731">
        <w:rPr>
          <w:szCs w:val="20"/>
        </w:rPr>
        <w:t xml:space="preserve">luefin tuna where </w:t>
      </w:r>
      <w:r w:rsidR="009016C4">
        <w:rPr>
          <w:szCs w:val="20"/>
        </w:rPr>
        <w:t>conventional assessments estimate the</w:t>
      </w:r>
      <w:r w:rsidR="00FE1731">
        <w:rPr>
          <w:szCs w:val="20"/>
        </w:rPr>
        <w:t xml:space="preserve"> </w:t>
      </w:r>
      <w:r w:rsidR="00832163">
        <w:rPr>
          <w:szCs w:val="20"/>
        </w:rPr>
        <w:t>W</w:t>
      </w:r>
      <w:r w:rsidR="00FE1731">
        <w:rPr>
          <w:szCs w:val="20"/>
        </w:rPr>
        <w:t xml:space="preserve">estern stock to be an order of magnitude smaller than the </w:t>
      </w:r>
      <w:r w:rsidR="00832163">
        <w:rPr>
          <w:szCs w:val="20"/>
        </w:rPr>
        <w:t>E</w:t>
      </w:r>
      <w:r w:rsidR="00FE1731">
        <w:rPr>
          <w:szCs w:val="20"/>
        </w:rPr>
        <w:t>astern stock. In such a case, any 50% assignment score</w:t>
      </w:r>
      <w:r w:rsidR="009016C4">
        <w:rPr>
          <w:szCs w:val="20"/>
        </w:rPr>
        <w:t xml:space="preserve"> </w:t>
      </w:r>
      <w:r>
        <w:rPr>
          <w:szCs w:val="20"/>
        </w:rPr>
        <w:t>i</w:t>
      </w:r>
      <w:r w:rsidR="00832163">
        <w:rPr>
          <w:szCs w:val="20"/>
        </w:rPr>
        <w:t>mplies</w:t>
      </w:r>
      <w:r w:rsidR="00FE1731">
        <w:rPr>
          <w:szCs w:val="20"/>
        </w:rPr>
        <w:t xml:space="preserve"> equal numbers of </w:t>
      </w:r>
      <w:r w:rsidR="00832163">
        <w:rPr>
          <w:szCs w:val="20"/>
        </w:rPr>
        <w:t>W</w:t>
      </w:r>
      <w:r w:rsidR="00FE1731">
        <w:rPr>
          <w:szCs w:val="20"/>
        </w:rPr>
        <w:t xml:space="preserve">estern and </w:t>
      </w:r>
      <w:r w:rsidR="00832163">
        <w:rPr>
          <w:szCs w:val="20"/>
        </w:rPr>
        <w:t>E</w:t>
      </w:r>
      <w:r w:rsidR="00FE1731">
        <w:rPr>
          <w:szCs w:val="20"/>
        </w:rPr>
        <w:t>astern fish in that strat</w:t>
      </w:r>
      <w:r w:rsidR="00832163">
        <w:rPr>
          <w:szCs w:val="20"/>
        </w:rPr>
        <w:t>um</w:t>
      </w:r>
      <w:r w:rsidR="004231D0">
        <w:rPr>
          <w:szCs w:val="20"/>
        </w:rPr>
        <w:t>,</w:t>
      </w:r>
      <w:r w:rsidR="00FE1731">
        <w:rPr>
          <w:szCs w:val="20"/>
        </w:rPr>
        <w:t xml:space="preserve"> leading to </w:t>
      </w:r>
      <w:r>
        <w:rPr>
          <w:szCs w:val="20"/>
        </w:rPr>
        <w:t xml:space="preserve">an </w:t>
      </w:r>
      <w:r w:rsidR="00FE1731">
        <w:rPr>
          <w:szCs w:val="20"/>
        </w:rPr>
        <w:t>overestimation of the size of the smaller stock</w:t>
      </w:r>
      <w:r>
        <w:rPr>
          <w:szCs w:val="20"/>
        </w:rPr>
        <w:t xml:space="preserve"> that is much larger in proportion to stock size</w:t>
      </w:r>
      <w:r w:rsidR="00FE1731">
        <w:rPr>
          <w:szCs w:val="20"/>
        </w:rPr>
        <w:t xml:space="preserve">. In other words, the impact of overestimating mixing </w:t>
      </w:r>
      <w:r>
        <w:rPr>
          <w:szCs w:val="20"/>
        </w:rPr>
        <w:t xml:space="preserve">is likely to be a large positive bias in the estimation of </w:t>
      </w:r>
      <w:r w:rsidR="00832163">
        <w:rPr>
          <w:szCs w:val="20"/>
        </w:rPr>
        <w:t>W</w:t>
      </w:r>
      <w:r>
        <w:rPr>
          <w:szCs w:val="20"/>
        </w:rPr>
        <w:t>estern stock size</w:t>
      </w:r>
      <w:r w:rsidR="00FE1731">
        <w:rPr>
          <w:szCs w:val="20"/>
        </w:rPr>
        <w:t xml:space="preserve">. </w:t>
      </w:r>
    </w:p>
    <w:p w14:paraId="690C98F5" w14:textId="2354DF19" w:rsidR="00E177BE" w:rsidRDefault="00E177BE" w:rsidP="00FE1731">
      <w:pPr>
        <w:jc w:val="both"/>
        <w:rPr>
          <w:szCs w:val="20"/>
        </w:rPr>
      </w:pPr>
    </w:p>
    <w:p w14:paraId="09FF91BC" w14:textId="58F9968D" w:rsidR="00E177BE" w:rsidRDefault="00E177BE" w:rsidP="008939BD">
      <w:pPr>
        <w:jc w:val="both"/>
        <w:rPr>
          <w:szCs w:val="20"/>
        </w:rPr>
      </w:pPr>
      <w:r>
        <w:rPr>
          <w:szCs w:val="20"/>
        </w:rPr>
        <w:t xml:space="preserve">The mixture model approach applied here removes fewer data than the 30-70 cut-off approach and leads to more </w:t>
      </w:r>
      <w:r w:rsidR="0072169B">
        <w:rPr>
          <w:szCs w:val="20"/>
        </w:rPr>
        <w:t>precise</w:t>
      </w:r>
      <w:r w:rsidR="002B05B6">
        <w:rPr>
          <w:szCs w:val="20"/>
        </w:rPr>
        <w:t xml:space="preserve"> </w:t>
      </w:r>
      <w:r>
        <w:rPr>
          <w:szCs w:val="20"/>
        </w:rPr>
        <w:t xml:space="preserve">estimates of stock of origin </w:t>
      </w:r>
      <w:r w:rsidR="002B05B6">
        <w:rPr>
          <w:szCs w:val="20"/>
        </w:rPr>
        <w:t xml:space="preserve">in each of the 7 geographic areas that are </w:t>
      </w:r>
      <w:r>
        <w:rPr>
          <w:szCs w:val="20"/>
        </w:rPr>
        <w:t xml:space="preserve">more consistent with observations arising from electronic and conventional tagging data, for example suggesting that the East Atlantic </w:t>
      </w:r>
      <w:r w:rsidR="009016C4">
        <w:rPr>
          <w:szCs w:val="20"/>
        </w:rPr>
        <w:t>contains a relatively</w:t>
      </w:r>
      <w:r>
        <w:rPr>
          <w:szCs w:val="20"/>
        </w:rPr>
        <w:t xml:space="preserve"> low </w:t>
      </w:r>
      <w:r w:rsidR="009016C4">
        <w:rPr>
          <w:szCs w:val="20"/>
        </w:rPr>
        <w:t>fraction</w:t>
      </w:r>
      <w:r>
        <w:rPr>
          <w:szCs w:val="20"/>
        </w:rPr>
        <w:t xml:space="preserve"> of Western fish. </w:t>
      </w:r>
    </w:p>
    <w:p w14:paraId="1B84A03A" w14:textId="4A038DFD" w:rsidR="00005B29" w:rsidRDefault="00005B29" w:rsidP="008939BD">
      <w:pPr>
        <w:jc w:val="both"/>
        <w:rPr>
          <w:szCs w:val="20"/>
        </w:rPr>
      </w:pPr>
    </w:p>
    <w:p w14:paraId="728F1904" w14:textId="799784D5" w:rsidR="00005B29" w:rsidRDefault="00005B29" w:rsidP="008939BD">
      <w:pPr>
        <w:jc w:val="both"/>
        <w:rPr>
          <w:rFonts w:eastAsiaTheme="minorEastAsia" w:cs="Times New Roman"/>
          <w:szCs w:val="20"/>
        </w:rPr>
      </w:pPr>
      <w:r>
        <w:rPr>
          <w:rFonts w:eastAsiaTheme="minorEastAsia" w:cs="Times New Roman"/>
          <w:szCs w:val="20"/>
        </w:rPr>
        <w:t xml:space="preserve">The model </w:t>
      </w:r>
      <w:r w:rsidR="004870C9">
        <w:rPr>
          <w:rFonts w:eastAsiaTheme="minorEastAsia" w:cs="Times New Roman"/>
          <w:szCs w:val="20"/>
        </w:rPr>
        <w:t xml:space="preserve">used to estimate the mixture model was </w:t>
      </w:r>
      <w:r>
        <w:rPr>
          <w:rFonts w:eastAsiaTheme="minorEastAsia" w:cs="Times New Roman"/>
          <w:szCs w:val="20"/>
        </w:rPr>
        <w:t xml:space="preserve">parameterized to estimate </w:t>
      </w:r>
      <w:r w:rsidRPr="00005B29">
        <w:rPr>
          <w:rFonts w:eastAsiaTheme="minorEastAsia" w:cs="Times New Roman"/>
          <w:i/>
          <w:szCs w:val="20"/>
        </w:rPr>
        <w:t>r</w:t>
      </w:r>
      <w:r>
        <w:rPr>
          <w:rFonts w:eastAsiaTheme="minorEastAsia" w:cs="Times New Roman"/>
          <w:szCs w:val="20"/>
        </w:rPr>
        <w:t xml:space="preserve">, the logit transformation of fraction east:  </w:t>
      </w:r>
      <w:r w:rsidRPr="003B457A">
        <w:rPr>
          <w:rFonts w:eastAsiaTheme="minorEastAsia" w:cs="Times New Roman"/>
          <w:i/>
          <w:szCs w:val="20"/>
        </w:rPr>
        <w:t>r</w:t>
      </w:r>
      <w:r>
        <w:rPr>
          <w:rFonts w:eastAsiaTheme="minorEastAsia" w:cs="Times New Roman"/>
          <w:szCs w:val="20"/>
        </w:rPr>
        <w:t xml:space="preserve"> = ln(R/(1-R)). The standard error </w:t>
      </w:r>
      <w:proofErr w:type="spellStart"/>
      <w:r w:rsidRPr="003B457A">
        <w:rPr>
          <w:rFonts w:eastAsiaTheme="minorEastAsia" w:cs="Times New Roman"/>
          <w:i/>
          <w:szCs w:val="20"/>
        </w:rPr>
        <w:t>σ</w:t>
      </w:r>
      <w:r>
        <w:rPr>
          <w:rFonts w:eastAsiaTheme="minorEastAsia" w:cs="Times New Roman"/>
          <w:i/>
          <w:szCs w:val="20"/>
          <w:vertAlign w:val="subscript"/>
        </w:rPr>
        <w:t>r</w:t>
      </w:r>
      <w:proofErr w:type="spellEnd"/>
      <w:r>
        <w:rPr>
          <w:rFonts w:eastAsiaTheme="minorEastAsia" w:cs="Times New Roman"/>
          <w:szCs w:val="20"/>
        </w:rPr>
        <w:t xml:space="preserve"> in estimates of </w:t>
      </w:r>
      <w:r>
        <w:rPr>
          <w:rFonts w:eastAsiaTheme="minorEastAsia" w:cs="Times New Roman"/>
          <w:i/>
          <w:szCs w:val="20"/>
        </w:rPr>
        <w:t>r</w:t>
      </w:r>
      <w:r>
        <w:rPr>
          <w:rFonts w:eastAsiaTheme="minorEastAsia" w:cs="Times New Roman"/>
          <w:szCs w:val="20"/>
        </w:rPr>
        <w:t xml:space="preserve"> were obtained by inverting the Hessian matrix returned from the numerical optimizer (using the R-software function </w:t>
      </w:r>
      <w:proofErr w:type="spellStart"/>
      <w:r w:rsidRPr="003B457A">
        <w:rPr>
          <w:rFonts w:eastAsiaTheme="minorEastAsia" w:cs="Times New Roman"/>
          <w:i/>
          <w:szCs w:val="20"/>
        </w:rPr>
        <w:t>optim</w:t>
      </w:r>
      <w:proofErr w:type="spellEnd"/>
      <w:r>
        <w:rPr>
          <w:rFonts w:eastAsiaTheme="minorEastAsia" w:cs="Times New Roman"/>
          <w:szCs w:val="20"/>
        </w:rPr>
        <w:t xml:space="preserve"> under default settings). </w:t>
      </w:r>
    </w:p>
    <w:p w14:paraId="3231D9A4" w14:textId="77777777" w:rsidR="00005B29" w:rsidRDefault="00005B29" w:rsidP="008939BD">
      <w:pPr>
        <w:jc w:val="both"/>
        <w:rPr>
          <w:rFonts w:eastAsiaTheme="minorEastAsia" w:cs="Times New Roman"/>
          <w:szCs w:val="20"/>
        </w:rPr>
      </w:pPr>
    </w:p>
    <w:p w14:paraId="504C59D8" w14:textId="58252A1F" w:rsidR="00005B29" w:rsidRDefault="00005B29" w:rsidP="008939BD">
      <w:pPr>
        <w:jc w:val="both"/>
        <w:rPr>
          <w:rFonts w:eastAsiaTheme="minorEastAsia" w:cs="Times New Roman"/>
          <w:szCs w:val="20"/>
        </w:rPr>
      </w:pPr>
      <w:r>
        <w:rPr>
          <w:rFonts w:eastAsiaTheme="minorEastAsia" w:cs="Times New Roman"/>
          <w:szCs w:val="20"/>
        </w:rPr>
        <w:t xml:space="preserve">This made it possible to derive </w:t>
      </w:r>
      <w:r w:rsidRPr="003B457A">
        <w:rPr>
          <w:rFonts w:eastAsiaTheme="minorEastAsia" w:cs="Times New Roman"/>
          <w:szCs w:val="20"/>
        </w:rPr>
        <w:t>values</w:t>
      </w:r>
      <w:r>
        <w:rPr>
          <w:rFonts w:eastAsiaTheme="minorEastAsia" w:cs="Times New Roman"/>
          <w:szCs w:val="20"/>
        </w:rPr>
        <w:t xml:space="preserve"> </w:t>
      </w:r>
      <w:proofErr w:type="spellStart"/>
      <w:r>
        <w:rPr>
          <w:rFonts w:eastAsiaTheme="minorEastAsia" w:cs="Times New Roman"/>
          <w:i/>
          <w:szCs w:val="20"/>
        </w:rPr>
        <w:t>r</w:t>
      </w:r>
      <w:r w:rsidRPr="00005B29">
        <w:rPr>
          <w:rFonts w:eastAsiaTheme="minorEastAsia" w:cs="Times New Roman"/>
          <w:i/>
          <w:szCs w:val="20"/>
          <w:vertAlign w:val="subscript"/>
        </w:rPr>
        <w:t>s</w:t>
      </w:r>
      <w:proofErr w:type="spellEnd"/>
      <w:r>
        <w:rPr>
          <w:rFonts w:eastAsiaTheme="minorEastAsia" w:cs="Times New Roman"/>
          <w:i/>
          <w:szCs w:val="20"/>
        </w:rPr>
        <w:t xml:space="preserve"> </w:t>
      </w:r>
      <w:r w:rsidR="009016C4">
        <w:rPr>
          <w:rFonts w:eastAsiaTheme="minorEastAsia" w:cs="Times New Roman"/>
          <w:szCs w:val="20"/>
        </w:rPr>
        <w:t xml:space="preserve">and </w:t>
      </w:r>
      <w:r>
        <w:rPr>
          <w:rFonts w:eastAsiaTheme="minorEastAsia" w:cs="Times New Roman"/>
          <w:szCs w:val="20"/>
        </w:rPr>
        <w:t>their approximate</w:t>
      </w:r>
      <w:r w:rsidR="009016C4">
        <w:rPr>
          <w:rFonts w:eastAsiaTheme="minorEastAsia" w:cs="Times New Roman"/>
          <w:szCs w:val="20"/>
        </w:rPr>
        <w:t xml:space="preserve"> standard</w:t>
      </w:r>
      <w:r>
        <w:rPr>
          <w:rFonts w:eastAsiaTheme="minorEastAsia" w:cs="Times New Roman"/>
          <w:szCs w:val="20"/>
        </w:rPr>
        <w:t xml:space="preserve"> errors </w:t>
      </w:r>
      <w:proofErr w:type="spellStart"/>
      <w:r w:rsidRPr="003B457A">
        <w:rPr>
          <w:rFonts w:eastAsiaTheme="minorEastAsia" w:cs="Times New Roman"/>
          <w:i/>
          <w:szCs w:val="20"/>
        </w:rPr>
        <w:t>σ</w:t>
      </w:r>
      <w:proofErr w:type="gramStart"/>
      <w:r>
        <w:rPr>
          <w:rFonts w:eastAsiaTheme="minorEastAsia" w:cs="Times New Roman"/>
          <w:i/>
          <w:szCs w:val="20"/>
          <w:vertAlign w:val="subscript"/>
        </w:rPr>
        <w:t>r,s</w:t>
      </w:r>
      <w:proofErr w:type="spellEnd"/>
      <w:proofErr w:type="gramEnd"/>
      <w:r>
        <w:rPr>
          <w:rFonts w:eastAsiaTheme="minorEastAsia" w:cs="Times New Roman"/>
          <w:szCs w:val="20"/>
        </w:rPr>
        <w:t xml:space="preserve"> for each strat</w:t>
      </w:r>
      <w:r w:rsidR="004231D0">
        <w:rPr>
          <w:rFonts w:eastAsiaTheme="minorEastAsia" w:cs="Times New Roman"/>
          <w:szCs w:val="20"/>
        </w:rPr>
        <w:t>um</w:t>
      </w:r>
      <w:r>
        <w:rPr>
          <w:rFonts w:eastAsiaTheme="minorEastAsia" w:cs="Times New Roman"/>
          <w:szCs w:val="20"/>
        </w:rPr>
        <w:t xml:space="preserve"> </w:t>
      </w:r>
      <w:r w:rsidR="009016C4">
        <w:rPr>
          <w:rFonts w:eastAsiaTheme="minorEastAsia" w:cs="Times New Roman"/>
          <w:szCs w:val="20"/>
        </w:rPr>
        <w:t>(</w:t>
      </w:r>
      <w:r>
        <w:rPr>
          <w:rFonts w:eastAsiaTheme="minorEastAsia" w:cs="Times New Roman"/>
          <w:szCs w:val="20"/>
        </w:rPr>
        <w:t>with more than 5 assignment data points</w:t>
      </w:r>
      <w:r w:rsidR="009016C4">
        <w:rPr>
          <w:rFonts w:eastAsiaTheme="minorEastAsia" w:cs="Times New Roman"/>
          <w:szCs w:val="20"/>
        </w:rPr>
        <w:t>)</w:t>
      </w:r>
      <w:r>
        <w:rPr>
          <w:rFonts w:eastAsiaTheme="minorEastAsia" w:cs="Times New Roman"/>
          <w:szCs w:val="20"/>
        </w:rPr>
        <w:t xml:space="preserve">, </w:t>
      </w:r>
      <w:r w:rsidR="009016C4">
        <w:rPr>
          <w:rFonts w:eastAsiaTheme="minorEastAsia" w:cs="Times New Roman"/>
          <w:szCs w:val="20"/>
        </w:rPr>
        <w:t>which can then</w:t>
      </w:r>
      <w:r w:rsidR="004870C9">
        <w:rPr>
          <w:rFonts w:eastAsiaTheme="minorEastAsia" w:cs="Times New Roman"/>
          <w:szCs w:val="20"/>
        </w:rPr>
        <w:t xml:space="preserve"> be used to condition</w:t>
      </w:r>
      <w:r>
        <w:rPr>
          <w:rFonts w:eastAsiaTheme="minorEastAsia" w:cs="Times New Roman"/>
          <w:szCs w:val="20"/>
        </w:rPr>
        <w:t xml:space="preserve"> operating models. </w:t>
      </w:r>
    </w:p>
    <w:p w14:paraId="005A8E70" w14:textId="77777777" w:rsidR="00005B29" w:rsidRDefault="00005B29" w:rsidP="008939BD">
      <w:pPr>
        <w:jc w:val="both"/>
        <w:rPr>
          <w:rFonts w:eastAsiaTheme="minorEastAsia" w:cs="Times New Roman"/>
          <w:szCs w:val="20"/>
        </w:rPr>
      </w:pPr>
    </w:p>
    <w:p w14:paraId="3D7728A4" w14:textId="62D5875A" w:rsidR="00005B29" w:rsidRDefault="00005B29" w:rsidP="008939BD">
      <w:pPr>
        <w:jc w:val="both"/>
        <w:rPr>
          <w:rFonts w:eastAsiaTheme="minorEastAsia" w:cs="Times New Roman"/>
          <w:szCs w:val="20"/>
        </w:rPr>
      </w:pPr>
      <w:r>
        <w:rPr>
          <w:rFonts w:eastAsiaTheme="minorEastAsia" w:cs="Times New Roman"/>
          <w:szCs w:val="20"/>
        </w:rPr>
        <w:t>In this case the negative log likelihood contribution to the global objective function of the operating model is calculated by a Gaussian likelihood function</w:t>
      </w:r>
      <w:r w:rsidR="00C261D3">
        <w:rPr>
          <w:rFonts w:eastAsiaTheme="minorEastAsia" w:cs="Times New Roman"/>
          <w:szCs w:val="20"/>
        </w:rPr>
        <w:t xml:space="preserve"> (without constants)</w:t>
      </w:r>
      <w:r>
        <w:rPr>
          <w:rFonts w:eastAsiaTheme="minorEastAsia" w:cs="Times New Roman"/>
          <w:szCs w:val="20"/>
        </w:rPr>
        <w:t xml:space="preserve"> comparing model predicted </w:t>
      </w:r>
      <m:oMath>
        <m:acc>
          <m:accPr>
            <m:ctrlPr>
              <w:rPr>
                <w:rFonts w:ascii="Cambria Math" w:eastAsiaTheme="minorEastAsia" w:hAnsi="Cambria Math" w:cs="Times New Roman"/>
                <w:i/>
                <w:szCs w:val="20"/>
              </w:rPr>
            </m:ctrlPr>
          </m:accPr>
          <m:e>
            <m:r>
              <w:rPr>
                <w:rFonts w:ascii="Cambria Math" w:eastAsiaTheme="minorEastAsia" w:hAnsi="Cambria Math" w:cs="Times New Roman"/>
                <w:szCs w:val="20"/>
              </w:rPr>
              <m:t>r</m:t>
            </m:r>
          </m:e>
        </m:acc>
      </m:oMath>
      <w:r>
        <w:rPr>
          <w:rFonts w:eastAsiaTheme="minorEastAsia" w:cs="Times New Roman"/>
          <w:szCs w:val="20"/>
        </w:rPr>
        <w:t xml:space="preserve"> with </w:t>
      </w:r>
      <w:r w:rsidRPr="00D34BE4">
        <w:rPr>
          <w:rFonts w:eastAsiaTheme="minorEastAsia" w:cs="Times New Roman"/>
          <w:i/>
          <w:szCs w:val="20"/>
        </w:rPr>
        <w:t>r</w:t>
      </w:r>
      <w:r>
        <w:rPr>
          <w:rFonts w:eastAsiaTheme="minorEastAsia" w:cs="Times New Roman"/>
          <w:szCs w:val="20"/>
        </w:rPr>
        <w:t xml:space="preserve"> derived using the mixture model: </w:t>
      </w:r>
    </w:p>
    <w:p w14:paraId="1AB76780" w14:textId="77777777" w:rsidR="00005B29" w:rsidRDefault="00005B29" w:rsidP="00005B29">
      <w:pPr>
        <w:rPr>
          <w:rFonts w:eastAsiaTheme="minorEastAsia" w:cs="Times New Roman"/>
          <w:szCs w:val="20"/>
        </w:rPr>
      </w:pPr>
    </w:p>
    <w:p w14:paraId="090A59F1" w14:textId="550A87F5" w:rsidR="00005B29" w:rsidRDefault="00790CD3" w:rsidP="00005B29">
      <w:pPr>
        <w:ind w:firstLine="720"/>
        <w:rPr>
          <w:rFonts w:eastAsiaTheme="minorEastAsia" w:cs="Times New Roman"/>
          <w:szCs w:val="20"/>
        </w:rPr>
      </w:pPr>
      <m:oMath>
        <m:sSub>
          <m:sSubPr>
            <m:ctrlPr>
              <w:rPr>
                <w:rFonts w:ascii="Cambria Math" w:eastAsiaTheme="minorEastAsia" w:hAnsi="Cambria Math" w:cs="Times New Roman"/>
                <w:sz w:val="22"/>
              </w:rPr>
            </m:ctrlPr>
          </m:sSubPr>
          <m:e>
            <m:r>
              <w:rPr>
                <w:rFonts w:ascii="Cambria Math" w:eastAsiaTheme="minorEastAsia" w:hAnsi="Cambria Math" w:cs="Times New Roman"/>
                <w:sz w:val="22"/>
              </w:rPr>
              <m:t>-lnL</m:t>
            </m:r>
          </m:e>
          <m:sub>
            <m:r>
              <w:rPr>
                <w:rFonts w:ascii="Cambria Math" w:eastAsiaTheme="minorEastAsia" w:hAnsi="Cambria Math" w:cs="Times New Roman"/>
                <w:sz w:val="22"/>
              </w:rPr>
              <m:t>SOO</m:t>
            </m:r>
          </m:sub>
        </m:sSub>
        <m:r>
          <m:rPr>
            <m:sty m:val="p"/>
          </m:rPr>
          <w:rPr>
            <w:rFonts w:ascii="Cambria Math" w:eastAsiaTheme="minorEastAsia" w:hAnsi="Cambria Math" w:cs="Times New Roman"/>
            <w:sz w:val="22"/>
          </w:rPr>
          <m:t>=</m:t>
        </m:r>
        <m:nary>
          <m:naryPr>
            <m:chr m:val="∑"/>
            <m:limLoc m:val="subSup"/>
            <m:supHide m:val="1"/>
            <m:ctrlPr>
              <w:rPr>
                <w:rFonts w:ascii="Cambria Math" w:eastAsiaTheme="minorEastAsia" w:hAnsi="Cambria Math" w:cs="Times New Roman"/>
                <w:sz w:val="22"/>
              </w:rPr>
            </m:ctrlPr>
          </m:naryPr>
          <m:sub>
            <m:r>
              <w:rPr>
                <w:rFonts w:ascii="Cambria Math" w:eastAsiaTheme="minorEastAsia" w:hAnsi="Cambria Math" w:cs="Times New Roman"/>
                <w:sz w:val="22"/>
              </w:rPr>
              <m:t>s</m:t>
            </m:r>
          </m:sub>
          <m:sup/>
          <m:e>
            <m:r>
              <w:rPr>
                <w:rFonts w:ascii="Cambria Math" w:eastAsiaTheme="minorEastAsia" w:hAnsi="Cambria Math" w:cs="Times New Roman"/>
                <w:sz w:val="22"/>
              </w:rPr>
              <m:t>ln</m:t>
            </m:r>
            <m:d>
              <m:dPr>
                <m:ctrlPr>
                  <w:rPr>
                    <w:rFonts w:ascii="Cambria Math" w:eastAsiaTheme="minorEastAsia" w:hAnsi="Cambria Math" w:cs="Times New Roman"/>
                    <w:sz w:val="22"/>
                  </w:rPr>
                </m:ctrlPr>
              </m:dPr>
              <m:e>
                <m:sSub>
                  <m:sSubPr>
                    <m:ctrlPr>
                      <w:rPr>
                        <w:rFonts w:ascii="Cambria Math" w:eastAsiaTheme="minorEastAsia" w:hAnsi="Cambria Math" w:cs="Times New Roman"/>
                        <w:sz w:val="22"/>
                      </w:rPr>
                    </m:ctrlPr>
                  </m:sSubPr>
                  <m:e>
                    <m:r>
                      <w:rPr>
                        <w:rFonts w:ascii="Cambria Math" w:eastAsiaTheme="minorEastAsia" w:hAnsi="Cambria Math" w:cs="Times New Roman"/>
                        <w:sz w:val="22"/>
                      </w:rPr>
                      <m:t>σ</m:t>
                    </m:r>
                  </m:e>
                  <m:sub>
                    <m:r>
                      <w:rPr>
                        <w:rFonts w:ascii="Cambria Math" w:eastAsiaTheme="minorEastAsia" w:hAnsi="Cambria Math" w:cs="Times New Roman"/>
                        <w:sz w:val="22"/>
                      </w:rPr>
                      <m:t>r,s</m:t>
                    </m:r>
                  </m:sub>
                </m:sSub>
              </m:e>
            </m:d>
            <m:r>
              <w:rPr>
                <w:rFonts w:ascii="Cambria Math" w:eastAsiaTheme="minorEastAsia" w:hAnsi="Cambria Math" w:cs="Times New Roman"/>
                <w:sz w:val="22"/>
              </w:rPr>
              <m:t>+</m:t>
            </m:r>
            <m:f>
              <m:fPr>
                <m:ctrlPr>
                  <w:rPr>
                    <w:rFonts w:ascii="Cambria Math" w:eastAsiaTheme="minorEastAsia" w:hAnsi="Cambria Math" w:cs="Times New Roman"/>
                    <w:i/>
                    <w:sz w:val="22"/>
                  </w:rPr>
                </m:ctrlPr>
              </m:fPr>
              <m:num>
                <m:sSup>
                  <m:sSupPr>
                    <m:ctrlPr>
                      <w:rPr>
                        <w:rFonts w:ascii="Cambria Math" w:eastAsiaTheme="minorEastAsia" w:hAnsi="Cambria Math" w:cs="Times New Roman"/>
                        <w:i/>
                        <w:sz w:val="22"/>
                      </w:rPr>
                    </m:ctrlPr>
                  </m:sSupPr>
                  <m:e>
                    <m:d>
                      <m:dPr>
                        <m:ctrlPr>
                          <w:rPr>
                            <w:rFonts w:ascii="Cambria Math" w:eastAsiaTheme="minorEastAsia" w:hAnsi="Cambria Math" w:cs="Times New Roman"/>
                            <w:i/>
                            <w:sz w:val="22"/>
                          </w:rPr>
                        </m:ctrlPr>
                      </m:dPr>
                      <m:e>
                        <m:sSub>
                          <m:sSubPr>
                            <m:ctrlPr>
                              <w:rPr>
                                <w:rFonts w:ascii="Cambria Math" w:eastAsiaTheme="minorEastAsia" w:hAnsi="Cambria Math" w:cs="Times New Roman"/>
                                <w:i/>
                                <w:sz w:val="22"/>
                              </w:rPr>
                            </m:ctrlPr>
                          </m:sSubPr>
                          <m:e>
                            <m:acc>
                              <m:accPr>
                                <m:ctrlPr>
                                  <w:rPr>
                                    <w:rFonts w:ascii="Cambria Math" w:eastAsiaTheme="minorEastAsia" w:hAnsi="Cambria Math" w:cs="Times New Roman"/>
                                    <w:i/>
                                    <w:sz w:val="22"/>
                                  </w:rPr>
                                </m:ctrlPr>
                              </m:accPr>
                              <m:e>
                                <m:r>
                                  <w:rPr>
                                    <w:rFonts w:ascii="Cambria Math" w:eastAsiaTheme="minorEastAsia" w:hAnsi="Cambria Math" w:cs="Times New Roman"/>
                                    <w:sz w:val="22"/>
                                  </w:rPr>
                                  <m:t>r</m:t>
                                </m:r>
                              </m:e>
                            </m:acc>
                          </m:e>
                          <m:sub>
                            <m:r>
                              <w:rPr>
                                <w:rFonts w:ascii="Cambria Math" w:eastAsiaTheme="minorEastAsia" w:hAnsi="Cambria Math" w:cs="Times New Roman"/>
                                <w:sz w:val="22"/>
                              </w:rPr>
                              <m:t>s-</m:t>
                            </m:r>
                          </m:sub>
                        </m:sSub>
                        <m:sSub>
                          <m:sSubPr>
                            <m:ctrlPr>
                              <w:rPr>
                                <w:rFonts w:ascii="Cambria Math" w:eastAsiaTheme="minorEastAsia" w:hAnsi="Cambria Math" w:cs="Times New Roman"/>
                                <w:i/>
                                <w:sz w:val="22"/>
                              </w:rPr>
                            </m:ctrlPr>
                          </m:sSubPr>
                          <m:e>
                            <m:r>
                              <w:rPr>
                                <w:rFonts w:ascii="Cambria Math" w:eastAsiaTheme="minorEastAsia" w:hAnsi="Cambria Math" w:cs="Times New Roman"/>
                                <w:sz w:val="22"/>
                              </w:rPr>
                              <m:t>r</m:t>
                            </m:r>
                          </m:e>
                          <m:sub>
                            <m:r>
                              <w:rPr>
                                <w:rFonts w:ascii="Cambria Math" w:eastAsiaTheme="minorEastAsia" w:hAnsi="Cambria Math" w:cs="Times New Roman"/>
                                <w:sz w:val="22"/>
                              </w:rPr>
                              <m:t>s</m:t>
                            </m:r>
                          </m:sub>
                        </m:sSub>
                      </m:e>
                    </m:d>
                  </m:e>
                  <m:sup>
                    <m:r>
                      <w:rPr>
                        <w:rFonts w:ascii="Cambria Math" w:eastAsiaTheme="minorEastAsia" w:hAnsi="Cambria Math" w:cs="Times New Roman"/>
                        <w:sz w:val="22"/>
                      </w:rPr>
                      <m:t>2</m:t>
                    </m:r>
                  </m:sup>
                </m:sSup>
              </m:num>
              <m:den>
                <m:r>
                  <w:rPr>
                    <w:rFonts w:ascii="Cambria Math" w:eastAsiaTheme="minorEastAsia" w:hAnsi="Cambria Math" w:cs="Times New Roman"/>
                    <w:sz w:val="22"/>
                  </w:rPr>
                  <m:t>2</m:t>
                </m:r>
                <m:sSup>
                  <m:sSupPr>
                    <m:ctrlPr>
                      <w:rPr>
                        <w:rFonts w:ascii="Cambria Math" w:eastAsiaTheme="minorEastAsia" w:hAnsi="Cambria Math" w:cs="Times New Roman"/>
                        <w:sz w:val="22"/>
                      </w:rPr>
                    </m:ctrlPr>
                  </m:sSupPr>
                  <m:e>
                    <m:sSub>
                      <m:sSubPr>
                        <m:ctrlPr>
                          <w:rPr>
                            <w:rFonts w:ascii="Cambria Math" w:eastAsiaTheme="minorEastAsia" w:hAnsi="Cambria Math" w:cs="Times New Roman"/>
                            <w:sz w:val="22"/>
                          </w:rPr>
                        </m:ctrlPr>
                      </m:sSubPr>
                      <m:e>
                        <m:r>
                          <w:rPr>
                            <w:rFonts w:ascii="Cambria Math" w:eastAsiaTheme="minorEastAsia" w:hAnsi="Cambria Math" w:cs="Times New Roman"/>
                            <w:sz w:val="22"/>
                          </w:rPr>
                          <m:t>σ</m:t>
                        </m:r>
                      </m:e>
                      <m:sub>
                        <m:r>
                          <w:rPr>
                            <w:rFonts w:ascii="Cambria Math" w:eastAsiaTheme="minorEastAsia" w:hAnsi="Cambria Math" w:cs="Times New Roman"/>
                            <w:sz w:val="22"/>
                          </w:rPr>
                          <m:t>r,s</m:t>
                        </m:r>
                      </m:sub>
                    </m:sSub>
                  </m:e>
                  <m:sup>
                    <m:r>
                      <w:rPr>
                        <w:rFonts w:ascii="Cambria Math" w:eastAsiaTheme="minorEastAsia" w:hAnsi="Cambria Math" w:cs="Times New Roman"/>
                        <w:sz w:val="22"/>
                      </w:rPr>
                      <m:t>2</m:t>
                    </m:r>
                  </m:sup>
                </m:sSup>
              </m:den>
            </m:f>
          </m:e>
        </m:nary>
      </m:oMath>
      <w:r w:rsidR="00005B29" w:rsidRPr="00005B29">
        <w:rPr>
          <w:rFonts w:eastAsiaTheme="minorEastAsia" w:cs="Times New Roman"/>
          <w:sz w:val="22"/>
        </w:rPr>
        <w:t xml:space="preserve"> </w:t>
      </w:r>
      <w:r w:rsidR="00005B29" w:rsidRPr="00005B29">
        <w:rPr>
          <w:rFonts w:eastAsiaTheme="minorEastAsia" w:cs="Times New Roman"/>
          <w:sz w:val="22"/>
        </w:rPr>
        <w:tab/>
      </w:r>
      <w:r w:rsidR="00005B29">
        <w:rPr>
          <w:rFonts w:eastAsiaTheme="minorEastAsia" w:cs="Times New Roman"/>
          <w:sz w:val="24"/>
          <w:szCs w:val="24"/>
        </w:rPr>
        <w:tab/>
      </w:r>
      <w:r w:rsidR="00005B29">
        <w:rPr>
          <w:rFonts w:eastAsiaTheme="minorEastAsia" w:cs="Times New Roman"/>
          <w:sz w:val="24"/>
          <w:szCs w:val="24"/>
        </w:rPr>
        <w:tab/>
      </w:r>
      <w:r w:rsidR="00005B29">
        <w:rPr>
          <w:rFonts w:eastAsiaTheme="minorEastAsia" w:cs="Times New Roman"/>
          <w:sz w:val="24"/>
          <w:szCs w:val="24"/>
        </w:rPr>
        <w:tab/>
      </w:r>
      <w:r w:rsidR="00005B29">
        <w:rPr>
          <w:rFonts w:eastAsiaTheme="minorEastAsia" w:cs="Times New Roman"/>
          <w:sz w:val="24"/>
          <w:szCs w:val="24"/>
        </w:rPr>
        <w:tab/>
      </w:r>
      <w:r w:rsidR="00005B29">
        <w:rPr>
          <w:rFonts w:eastAsiaTheme="minorEastAsia" w:cs="Times New Roman"/>
          <w:sz w:val="24"/>
          <w:szCs w:val="24"/>
        </w:rPr>
        <w:tab/>
      </w:r>
      <w:r w:rsidR="00005B29" w:rsidRPr="00005B29">
        <w:rPr>
          <w:rFonts w:eastAsiaTheme="minorEastAsia" w:cs="Times New Roman"/>
          <w:szCs w:val="20"/>
        </w:rPr>
        <w:t>(3)</w:t>
      </w:r>
    </w:p>
    <w:p w14:paraId="6D292E1E" w14:textId="160F30C9" w:rsidR="00005B29" w:rsidRDefault="00005B29" w:rsidP="00005B29">
      <w:pPr>
        <w:rPr>
          <w:rFonts w:eastAsiaTheme="minorEastAsia" w:cs="Times New Roman"/>
          <w:szCs w:val="20"/>
        </w:rPr>
      </w:pPr>
      <w:r>
        <w:rPr>
          <w:rFonts w:eastAsiaTheme="minorEastAsia" w:cs="Times New Roman"/>
          <w:szCs w:val="20"/>
        </w:rPr>
        <w:tab/>
      </w:r>
    </w:p>
    <w:p w14:paraId="5FDB1E3F" w14:textId="24CDD0FD" w:rsidR="00005B29" w:rsidRDefault="00005B29" w:rsidP="008939BD">
      <w:pPr>
        <w:jc w:val="both"/>
        <w:rPr>
          <w:rFonts w:eastAsiaTheme="minorEastAsia" w:cs="Times New Roman"/>
          <w:szCs w:val="20"/>
        </w:rPr>
      </w:pPr>
      <w:r>
        <w:rPr>
          <w:rFonts w:eastAsiaTheme="minorEastAsia" w:cs="Times New Roman"/>
          <w:szCs w:val="20"/>
        </w:rPr>
        <w:t>where the operating model estimated logit fraction</w:t>
      </w:r>
      <m:oMath>
        <m:r>
          <w:rPr>
            <w:rFonts w:ascii="Cambria Math" w:eastAsiaTheme="minorEastAsia" w:hAnsi="Cambria Math" w:cs="Times New Roman"/>
            <w:szCs w:val="20"/>
          </w:rPr>
          <m:t xml:space="preserve"> </m:t>
        </m:r>
        <m:sSub>
          <m:sSubPr>
            <m:ctrlPr>
              <w:rPr>
                <w:rFonts w:ascii="Cambria Math" w:eastAsiaTheme="minorEastAsia" w:hAnsi="Cambria Math" w:cs="Times New Roman"/>
                <w:i/>
                <w:szCs w:val="20"/>
              </w:rPr>
            </m:ctrlPr>
          </m:sSubPr>
          <m:e>
            <m:acc>
              <m:accPr>
                <m:ctrlPr>
                  <w:rPr>
                    <w:rFonts w:ascii="Cambria Math" w:eastAsiaTheme="minorEastAsia" w:hAnsi="Cambria Math" w:cs="Times New Roman"/>
                    <w:i/>
                    <w:szCs w:val="20"/>
                  </w:rPr>
                </m:ctrlPr>
              </m:accPr>
              <m:e>
                <m:r>
                  <w:rPr>
                    <w:rFonts w:ascii="Cambria Math" w:eastAsiaTheme="minorEastAsia" w:hAnsi="Cambria Math" w:cs="Times New Roman"/>
                    <w:szCs w:val="20"/>
                  </w:rPr>
                  <m:t>r</m:t>
                </m:r>
              </m:e>
            </m:acc>
          </m:e>
          <m:sub>
            <m:r>
              <w:rPr>
                <w:rFonts w:ascii="Cambria Math" w:eastAsiaTheme="minorEastAsia" w:hAnsi="Cambria Math" w:cs="Times New Roman"/>
                <w:szCs w:val="20"/>
              </w:rPr>
              <m:t>s</m:t>
            </m:r>
          </m:sub>
        </m:sSub>
      </m:oMath>
      <w:r>
        <w:rPr>
          <w:rFonts w:eastAsiaTheme="minorEastAsia" w:cs="Times New Roman"/>
          <w:szCs w:val="20"/>
        </w:rPr>
        <w:t xml:space="preserve"> is calculated from the </w:t>
      </w:r>
      <w:r w:rsidR="00C261D3">
        <w:rPr>
          <w:rFonts w:eastAsiaTheme="minorEastAsia" w:cs="Times New Roman"/>
          <w:szCs w:val="20"/>
        </w:rPr>
        <w:t xml:space="preserve">operating model </w:t>
      </w:r>
      <w:r>
        <w:rPr>
          <w:rFonts w:eastAsiaTheme="minorEastAsia" w:cs="Times New Roman"/>
          <w:szCs w:val="20"/>
        </w:rPr>
        <w:t xml:space="preserve">predicted ratio of </w:t>
      </w:r>
      <w:r w:rsidR="004231D0">
        <w:rPr>
          <w:rFonts w:eastAsiaTheme="minorEastAsia" w:cs="Times New Roman"/>
          <w:szCs w:val="20"/>
        </w:rPr>
        <w:t>E</w:t>
      </w:r>
      <w:r>
        <w:rPr>
          <w:rFonts w:eastAsiaTheme="minorEastAsia" w:cs="Times New Roman"/>
          <w:szCs w:val="20"/>
        </w:rPr>
        <w:t xml:space="preserve">astern fish in the catch </w:t>
      </w:r>
      <m:oMath>
        <m:sSub>
          <m:sSubPr>
            <m:ctrlPr>
              <w:rPr>
                <w:rFonts w:ascii="Cambria Math" w:eastAsiaTheme="minorEastAsia" w:hAnsi="Cambria Math" w:cs="Times New Roman"/>
                <w:i/>
                <w:szCs w:val="20"/>
              </w:rPr>
            </m:ctrlPr>
          </m:sSubPr>
          <m:e>
            <m:acc>
              <m:accPr>
                <m:ctrlPr>
                  <w:rPr>
                    <w:rFonts w:ascii="Cambria Math" w:eastAsiaTheme="minorEastAsia" w:hAnsi="Cambria Math" w:cs="Times New Roman"/>
                    <w:i/>
                    <w:szCs w:val="20"/>
                  </w:rPr>
                </m:ctrlPr>
              </m:accPr>
              <m:e>
                <m:r>
                  <w:rPr>
                    <w:rFonts w:ascii="Cambria Math" w:eastAsiaTheme="minorEastAsia" w:hAnsi="Cambria Math" w:cs="Times New Roman"/>
                    <w:szCs w:val="20"/>
                  </w:rPr>
                  <m:t>R</m:t>
                </m:r>
              </m:e>
            </m:acc>
          </m:e>
          <m:sub>
            <m:r>
              <w:rPr>
                <w:rFonts w:ascii="Cambria Math" w:eastAsiaTheme="minorEastAsia" w:hAnsi="Cambria Math" w:cs="Times New Roman"/>
                <w:szCs w:val="20"/>
              </w:rPr>
              <m:t>s</m:t>
            </m:r>
          </m:sub>
        </m:sSub>
      </m:oMath>
      <w:r>
        <w:rPr>
          <w:rFonts w:eastAsiaTheme="minorEastAsia" w:cs="Times New Roman"/>
          <w:szCs w:val="20"/>
        </w:rPr>
        <w:t>:</w:t>
      </w:r>
      <w:r w:rsidR="00C261D3">
        <w:rPr>
          <w:rFonts w:eastAsiaTheme="minorEastAsia" w:cs="Times New Roman"/>
          <w:szCs w:val="20"/>
        </w:rPr>
        <w:t xml:space="preserve"> </w:t>
      </w:r>
      <w:r>
        <w:rPr>
          <w:rFonts w:eastAsiaTheme="minorEastAsia" w:cs="Times New Roman"/>
          <w:szCs w:val="20"/>
        </w:rPr>
        <w:t xml:space="preserve"> </w:t>
      </w:r>
      <m:oMath>
        <m:sSub>
          <m:sSubPr>
            <m:ctrlPr>
              <w:rPr>
                <w:rFonts w:ascii="Cambria Math" w:eastAsiaTheme="minorEastAsia" w:hAnsi="Cambria Math" w:cs="Times New Roman"/>
                <w:i/>
                <w:szCs w:val="20"/>
              </w:rPr>
            </m:ctrlPr>
          </m:sSubPr>
          <m:e>
            <m:acc>
              <m:accPr>
                <m:ctrlPr>
                  <w:rPr>
                    <w:rFonts w:ascii="Cambria Math" w:eastAsiaTheme="minorEastAsia" w:hAnsi="Cambria Math" w:cs="Times New Roman"/>
                    <w:i/>
                    <w:szCs w:val="20"/>
                  </w:rPr>
                </m:ctrlPr>
              </m:accPr>
              <m:e>
                <m:r>
                  <w:rPr>
                    <w:rFonts w:ascii="Cambria Math" w:eastAsiaTheme="minorEastAsia" w:hAnsi="Cambria Math" w:cs="Times New Roman"/>
                    <w:szCs w:val="20"/>
                  </w:rPr>
                  <m:t>r</m:t>
                </m:r>
              </m:e>
            </m:acc>
          </m:e>
          <m:sub>
            <m:r>
              <w:rPr>
                <w:rFonts w:ascii="Cambria Math" w:eastAsiaTheme="minorEastAsia" w:hAnsi="Cambria Math" w:cs="Times New Roman"/>
                <w:szCs w:val="20"/>
              </w:rPr>
              <m:t>s</m:t>
            </m:r>
          </m:sub>
        </m:sSub>
        <m:r>
          <w:rPr>
            <w:rFonts w:ascii="Cambria Math" w:eastAsiaTheme="minorEastAsia" w:hAnsi="Cambria Math" w:cs="Times New Roman"/>
            <w:szCs w:val="20"/>
          </w:rPr>
          <m:t>=ln</m:t>
        </m:r>
        <m:d>
          <m:dPr>
            <m:ctrlPr>
              <w:rPr>
                <w:rFonts w:ascii="Cambria Math" w:eastAsiaTheme="minorEastAsia" w:hAnsi="Cambria Math" w:cs="Times New Roman"/>
                <w:i/>
                <w:szCs w:val="20"/>
              </w:rPr>
            </m:ctrlPr>
          </m:dPr>
          <m:e>
            <m:f>
              <m:fPr>
                <m:type m:val="lin"/>
                <m:ctrlPr>
                  <w:rPr>
                    <w:rFonts w:ascii="Cambria Math" w:eastAsiaTheme="minorEastAsia" w:hAnsi="Cambria Math" w:cs="Times New Roman"/>
                    <w:i/>
                    <w:szCs w:val="20"/>
                  </w:rPr>
                </m:ctrlPr>
              </m:fPr>
              <m:num>
                <m:sSub>
                  <m:sSubPr>
                    <m:ctrlPr>
                      <w:rPr>
                        <w:rFonts w:ascii="Cambria Math" w:eastAsiaTheme="minorEastAsia" w:hAnsi="Cambria Math" w:cs="Times New Roman"/>
                        <w:i/>
                        <w:szCs w:val="20"/>
                      </w:rPr>
                    </m:ctrlPr>
                  </m:sSubPr>
                  <m:e>
                    <m:acc>
                      <m:accPr>
                        <m:ctrlPr>
                          <w:rPr>
                            <w:rFonts w:ascii="Cambria Math" w:eastAsiaTheme="minorEastAsia" w:hAnsi="Cambria Math" w:cs="Times New Roman"/>
                            <w:i/>
                            <w:szCs w:val="20"/>
                          </w:rPr>
                        </m:ctrlPr>
                      </m:accPr>
                      <m:e>
                        <m:r>
                          <w:rPr>
                            <w:rFonts w:ascii="Cambria Math" w:eastAsiaTheme="minorEastAsia" w:hAnsi="Cambria Math" w:cs="Times New Roman"/>
                            <w:szCs w:val="20"/>
                          </w:rPr>
                          <m:t>R</m:t>
                        </m:r>
                      </m:e>
                    </m:acc>
                  </m:e>
                  <m:sub>
                    <m:r>
                      <w:rPr>
                        <w:rFonts w:ascii="Cambria Math" w:eastAsiaTheme="minorEastAsia" w:hAnsi="Cambria Math" w:cs="Times New Roman"/>
                        <w:szCs w:val="20"/>
                      </w:rPr>
                      <m:t>s</m:t>
                    </m:r>
                  </m:sub>
                </m:sSub>
              </m:num>
              <m:den>
                <m:d>
                  <m:dPr>
                    <m:ctrlPr>
                      <w:rPr>
                        <w:rFonts w:ascii="Cambria Math" w:eastAsiaTheme="minorEastAsia" w:hAnsi="Cambria Math" w:cs="Times New Roman"/>
                        <w:i/>
                        <w:szCs w:val="20"/>
                      </w:rPr>
                    </m:ctrlPr>
                  </m:dPr>
                  <m:e>
                    <m:r>
                      <w:rPr>
                        <w:rFonts w:ascii="Cambria Math" w:eastAsiaTheme="minorEastAsia" w:hAnsi="Cambria Math" w:cs="Times New Roman"/>
                        <w:szCs w:val="20"/>
                      </w:rPr>
                      <m:t>1-</m:t>
                    </m:r>
                    <m:sSub>
                      <m:sSubPr>
                        <m:ctrlPr>
                          <w:rPr>
                            <w:rFonts w:ascii="Cambria Math" w:eastAsiaTheme="minorEastAsia" w:hAnsi="Cambria Math" w:cs="Times New Roman"/>
                            <w:i/>
                            <w:szCs w:val="20"/>
                          </w:rPr>
                        </m:ctrlPr>
                      </m:sSubPr>
                      <m:e>
                        <m:acc>
                          <m:accPr>
                            <m:ctrlPr>
                              <w:rPr>
                                <w:rFonts w:ascii="Cambria Math" w:eastAsiaTheme="minorEastAsia" w:hAnsi="Cambria Math" w:cs="Times New Roman"/>
                                <w:i/>
                                <w:szCs w:val="20"/>
                              </w:rPr>
                            </m:ctrlPr>
                          </m:accPr>
                          <m:e>
                            <m:r>
                              <w:rPr>
                                <w:rFonts w:ascii="Cambria Math" w:eastAsiaTheme="minorEastAsia" w:hAnsi="Cambria Math" w:cs="Times New Roman"/>
                                <w:szCs w:val="20"/>
                              </w:rPr>
                              <m:t>R</m:t>
                            </m:r>
                          </m:e>
                        </m:acc>
                      </m:e>
                      <m:sub>
                        <m:r>
                          <w:rPr>
                            <w:rFonts w:ascii="Cambria Math" w:eastAsiaTheme="minorEastAsia" w:hAnsi="Cambria Math" w:cs="Times New Roman"/>
                            <w:szCs w:val="20"/>
                          </w:rPr>
                          <m:t>s</m:t>
                        </m:r>
                      </m:sub>
                    </m:sSub>
                  </m:e>
                </m:d>
              </m:den>
            </m:f>
          </m:e>
        </m:d>
      </m:oMath>
      <w:r w:rsidR="00C261D3">
        <w:rPr>
          <w:rFonts w:eastAsiaTheme="minorEastAsia" w:cs="Times New Roman"/>
          <w:szCs w:val="20"/>
        </w:rPr>
        <w:t xml:space="preserve">. </w:t>
      </w:r>
    </w:p>
    <w:p w14:paraId="286030DB" w14:textId="746E5354" w:rsidR="00005B29" w:rsidRDefault="00005B29" w:rsidP="00005B29">
      <w:pPr>
        <w:rPr>
          <w:rFonts w:eastAsiaTheme="minorEastAsia" w:cs="Times New Roman"/>
          <w:szCs w:val="20"/>
        </w:rPr>
      </w:pPr>
    </w:p>
    <w:p w14:paraId="2D8774F0" w14:textId="39224C2C" w:rsidR="004870C9" w:rsidRDefault="00A6622D" w:rsidP="00A6622D">
      <w:pPr>
        <w:jc w:val="both"/>
        <w:rPr>
          <w:szCs w:val="20"/>
        </w:rPr>
      </w:pPr>
      <w:r>
        <w:rPr>
          <w:szCs w:val="20"/>
        </w:rPr>
        <w:t>Data to inform stock composition of catches have been collected over the spatial range of Atlantic bluefin stocks (i.e. for all 7 ocean areas of Figure 1)</w:t>
      </w:r>
      <w:r w:rsidR="00832163">
        <w:rPr>
          <w:szCs w:val="20"/>
        </w:rPr>
        <w:t>;</w:t>
      </w:r>
      <w:r>
        <w:rPr>
          <w:szCs w:val="20"/>
        </w:rPr>
        <w:t xml:space="preserve"> however</w:t>
      </w:r>
      <w:r w:rsidR="004231D0">
        <w:rPr>
          <w:szCs w:val="20"/>
        </w:rPr>
        <w:t>,</w:t>
      </w:r>
      <w:r>
        <w:rPr>
          <w:szCs w:val="20"/>
        </w:rPr>
        <w:t xml:space="preserve"> there is a high degree of inconsistency in spatial sampling intensity (Tables </w:t>
      </w:r>
      <w:r w:rsidR="004870C9">
        <w:rPr>
          <w:szCs w:val="20"/>
        </w:rPr>
        <w:t>1</w:t>
      </w:r>
      <w:r w:rsidR="00416473">
        <w:rPr>
          <w:szCs w:val="20"/>
        </w:rPr>
        <w:t xml:space="preserve">, </w:t>
      </w:r>
      <w:r w:rsidR="004870C9">
        <w:rPr>
          <w:szCs w:val="20"/>
        </w:rPr>
        <w:t>4</w:t>
      </w:r>
      <w:r w:rsidR="00416473">
        <w:rPr>
          <w:szCs w:val="20"/>
        </w:rPr>
        <w:t>a and 4b</w:t>
      </w:r>
      <w:r>
        <w:rPr>
          <w:szCs w:val="20"/>
        </w:rPr>
        <w:t xml:space="preserve">) with the majority of data collected and processed in </w:t>
      </w:r>
      <w:r w:rsidR="004231D0">
        <w:rPr>
          <w:szCs w:val="20"/>
        </w:rPr>
        <w:t>W</w:t>
      </w:r>
      <w:r>
        <w:rPr>
          <w:szCs w:val="20"/>
        </w:rPr>
        <w:t>estern areas such as the Gulf of Mexico, West Atlantic and Gulf of St Lawrence (~</w:t>
      </w:r>
      <w:r w:rsidR="00EB54FD">
        <w:rPr>
          <w:szCs w:val="20"/>
        </w:rPr>
        <w:t>7</w:t>
      </w:r>
      <w:r>
        <w:rPr>
          <w:szCs w:val="20"/>
        </w:rPr>
        <w:t xml:space="preserve">5%). </w:t>
      </w:r>
    </w:p>
    <w:p w14:paraId="031F09A3" w14:textId="77777777" w:rsidR="004870C9" w:rsidRDefault="004870C9" w:rsidP="00A6622D">
      <w:pPr>
        <w:jc w:val="both"/>
        <w:rPr>
          <w:szCs w:val="20"/>
        </w:rPr>
      </w:pPr>
    </w:p>
    <w:p w14:paraId="119F3BA8" w14:textId="75E982B2" w:rsidR="00A6622D" w:rsidRDefault="00832163" w:rsidP="00A6622D">
      <w:pPr>
        <w:jc w:val="both"/>
        <w:rPr>
          <w:szCs w:val="20"/>
        </w:rPr>
      </w:pPr>
      <w:r>
        <w:rPr>
          <w:szCs w:val="20"/>
        </w:rPr>
        <w:t>T</w:t>
      </w:r>
      <w:r w:rsidR="00A6622D">
        <w:rPr>
          <w:szCs w:val="20"/>
        </w:rPr>
        <w:t>he seasonal coverage</w:t>
      </w:r>
      <w:r>
        <w:rPr>
          <w:szCs w:val="20"/>
        </w:rPr>
        <w:t xml:space="preserve"> is also patchy</w:t>
      </w:r>
      <w:r w:rsidR="009016C4">
        <w:rPr>
          <w:szCs w:val="20"/>
        </w:rPr>
        <w:t>,</w:t>
      </w:r>
      <w:r>
        <w:rPr>
          <w:szCs w:val="20"/>
        </w:rPr>
        <w:t xml:space="preserve"> having</w:t>
      </w:r>
      <w:r w:rsidR="00A6622D">
        <w:rPr>
          <w:szCs w:val="20"/>
        </w:rPr>
        <w:t xml:space="preserve"> for example no observations in quarter 1 (Jan – Mar) </w:t>
      </w:r>
      <w:r w:rsidR="009016C4">
        <w:rPr>
          <w:szCs w:val="20"/>
        </w:rPr>
        <w:t xml:space="preserve">in </w:t>
      </w:r>
      <w:r w:rsidR="00EB54FD">
        <w:rPr>
          <w:szCs w:val="20"/>
        </w:rPr>
        <w:t>four</w:t>
      </w:r>
      <w:r w:rsidR="00A6622D">
        <w:rPr>
          <w:szCs w:val="20"/>
        </w:rPr>
        <w:t xml:space="preserve"> of the 7 areas (GSL, NATL, EATL, MED)</w:t>
      </w:r>
      <w:r w:rsidR="004870C9">
        <w:rPr>
          <w:szCs w:val="20"/>
        </w:rPr>
        <w:t xml:space="preserve"> (Table</w:t>
      </w:r>
      <w:r w:rsidR="00416473">
        <w:rPr>
          <w:szCs w:val="20"/>
        </w:rPr>
        <w:t>s</w:t>
      </w:r>
      <w:r w:rsidR="004870C9">
        <w:rPr>
          <w:szCs w:val="20"/>
        </w:rPr>
        <w:t xml:space="preserve"> 4</w:t>
      </w:r>
      <w:r w:rsidR="00416473">
        <w:rPr>
          <w:szCs w:val="20"/>
        </w:rPr>
        <w:t>a and 4b</w:t>
      </w:r>
      <w:r w:rsidR="004870C9">
        <w:rPr>
          <w:szCs w:val="20"/>
        </w:rPr>
        <w:t>)</w:t>
      </w:r>
      <w:r w:rsidR="00A6622D">
        <w:rPr>
          <w:szCs w:val="20"/>
        </w:rPr>
        <w:t xml:space="preserve">. If more than 5 observations </w:t>
      </w:r>
      <w:r w:rsidR="002B05B6">
        <w:rPr>
          <w:szCs w:val="20"/>
        </w:rPr>
        <w:t xml:space="preserve">are required </w:t>
      </w:r>
      <w:r w:rsidR="00A6622D">
        <w:rPr>
          <w:szCs w:val="20"/>
        </w:rPr>
        <w:t xml:space="preserve">to inform </w:t>
      </w:r>
      <w:r>
        <w:rPr>
          <w:szCs w:val="20"/>
        </w:rPr>
        <w:t xml:space="preserve">on the </w:t>
      </w:r>
      <w:r w:rsidR="00A6622D">
        <w:rPr>
          <w:szCs w:val="20"/>
        </w:rPr>
        <w:t>stock composition of catches</w:t>
      </w:r>
      <w:r w:rsidR="00E177BE">
        <w:rPr>
          <w:szCs w:val="20"/>
        </w:rPr>
        <w:t>,</w:t>
      </w:r>
      <w:r w:rsidR="00A6622D">
        <w:rPr>
          <w:szCs w:val="20"/>
        </w:rPr>
        <w:t xml:space="preserve"> then </w:t>
      </w:r>
      <w:r w:rsidR="00EB54FD">
        <w:rPr>
          <w:szCs w:val="20"/>
        </w:rPr>
        <w:t>around a third</w:t>
      </w:r>
      <w:r w:rsidR="00A6622D">
        <w:rPr>
          <w:szCs w:val="20"/>
        </w:rPr>
        <w:t xml:space="preserve"> </w:t>
      </w:r>
      <w:r w:rsidR="00EB54FD">
        <w:rPr>
          <w:szCs w:val="20"/>
        </w:rPr>
        <w:t xml:space="preserve">(10 of the 28) of quarter-area strata </w:t>
      </w:r>
      <w:r w:rsidR="00A6622D">
        <w:rPr>
          <w:szCs w:val="20"/>
        </w:rPr>
        <w:t xml:space="preserve">are missing the required data. When fitted to a range of data types, operating models must inform stock composition (mixing) in these strata from the substantially less informative electronic tagging data. </w:t>
      </w:r>
      <w:r w:rsidR="004870C9">
        <w:rPr>
          <w:szCs w:val="20"/>
        </w:rPr>
        <w:t>It remains to be seen whether the operatin</w:t>
      </w:r>
      <w:r w:rsidR="00E177BE">
        <w:rPr>
          <w:szCs w:val="20"/>
        </w:rPr>
        <w:t>g model must be simplified</w:t>
      </w:r>
      <w:r w:rsidR="004870C9">
        <w:rPr>
          <w:szCs w:val="20"/>
        </w:rPr>
        <w:t xml:space="preserve"> in order for all parameters to be informed by the data</w:t>
      </w:r>
      <w:r w:rsidR="00E177BE">
        <w:rPr>
          <w:szCs w:val="20"/>
        </w:rPr>
        <w:t xml:space="preserve"> available</w:t>
      </w:r>
      <w:r w:rsidR="004870C9">
        <w:rPr>
          <w:szCs w:val="20"/>
        </w:rPr>
        <w:t xml:space="preserve">. </w:t>
      </w:r>
    </w:p>
    <w:p w14:paraId="27163DB3" w14:textId="77777777" w:rsidR="00A6622D" w:rsidRDefault="00A6622D" w:rsidP="00A6622D">
      <w:pPr>
        <w:jc w:val="both"/>
        <w:rPr>
          <w:szCs w:val="20"/>
        </w:rPr>
      </w:pPr>
    </w:p>
    <w:p w14:paraId="58BD8353" w14:textId="77777777" w:rsidR="00A6622D" w:rsidRDefault="00A6622D" w:rsidP="00A6622D">
      <w:pPr>
        <w:ind w:left="720"/>
        <w:jc w:val="both"/>
        <w:rPr>
          <w:szCs w:val="20"/>
        </w:rPr>
      </w:pPr>
    </w:p>
    <w:p w14:paraId="7963F645" w14:textId="6EE533E2" w:rsidR="00A6622D" w:rsidRDefault="00A6622D" w:rsidP="004C1F57">
      <w:pPr>
        <w:spacing w:after="120"/>
        <w:ind w:left="720"/>
        <w:jc w:val="both"/>
        <w:rPr>
          <w:szCs w:val="20"/>
        </w:rPr>
      </w:pPr>
      <w:r w:rsidRPr="00F3468E">
        <w:rPr>
          <w:b/>
          <w:szCs w:val="20"/>
        </w:rPr>
        <w:t xml:space="preserve">Table </w:t>
      </w:r>
      <w:r>
        <w:rPr>
          <w:b/>
          <w:szCs w:val="20"/>
        </w:rPr>
        <w:t>4</w:t>
      </w:r>
      <w:r w:rsidR="00BE0BCC">
        <w:rPr>
          <w:b/>
          <w:szCs w:val="20"/>
        </w:rPr>
        <w:t>a</w:t>
      </w:r>
      <w:r>
        <w:rPr>
          <w:szCs w:val="20"/>
        </w:rPr>
        <w:t xml:space="preserve">. Seasonal-spatial coverage of the raw otolith chemistry data. Orange shaded cells represent quarter-area strata for which there are no stock of origin data </w:t>
      </w:r>
      <w:r w:rsidR="00EA4838">
        <w:rPr>
          <w:szCs w:val="20"/>
        </w:rPr>
        <w:t>available for</w:t>
      </w:r>
      <w:r>
        <w:rPr>
          <w:szCs w:val="20"/>
        </w:rPr>
        <w:t xml:space="preserve"> the mixture model approach. </w:t>
      </w:r>
    </w:p>
    <w:p w14:paraId="0BFB3368" w14:textId="1D45FAD4" w:rsidR="00A6622D" w:rsidRDefault="00BE0BCC" w:rsidP="00A6622D">
      <w:pPr>
        <w:ind w:left="720"/>
        <w:jc w:val="both"/>
        <w:rPr>
          <w:szCs w:val="20"/>
        </w:rPr>
      </w:pPr>
      <w:r w:rsidRPr="00BE0BCC">
        <w:rPr>
          <w:noProof/>
          <w:lang w:val="en-US"/>
        </w:rPr>
        <w:drawing>
          <wp:inline distT="0" distB="0" distL="0" distR="0" wp14:anchorId="6E084C7D" wp14:editId="07236232">
            <wp:extent cx="4514850" cy="129335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9709" cy="1297615"/>
                    </a:xfrm>
                    <a:prstGeom prst="rect">
                      <a:avLst/>
                    </a:prstGeom>
                    <a:noFill/>
                    <a:ln>
                      <a:noFill/>
                    </a:ln>
                  </pic:spPr>
                </pic:pic>
              </a:graphicData>
            </a:graphic>
          </wp:inline>
        </w:drawing>
      </w:r>
    </w:p>
    <w:p w14:paraId="61A52E87" w14:textId="18F6E376" w:rsidR="00BE0BCC" w:rsidRDefault="00BE0BCC" w:rsidP="00A6622D">
      <w:pPr>
        <w:ind w:left="720"/>
        <w:jc w:val="both"/>
        <w:rPr>
          <w:szCs w:val="20"/>
        </w:rPr>
      </w:pPr>
    </w:p>
    <w:p w14:paraId="5280E75B" w14:textId="36385E75" w:rsidR="00BE0BCC" w:rsidRDefault="00BE0BCC" w:rsidP="00A6622D">
      <w:pPr>
        <w:ind w:left="720"/>
        <w:jc w:val="both"/>
        <w:rPr>
          <w:szCs w:val="20"/>
        </w:rPr>
      </w:pPr>
    </w:p>
    <w:p w14:paraId="2B8C8486" w14:textId="570271C8" w:rsidR="00BE0BCC" w:rsidRDefault="00BE0BCC" w:rsidP="00BE0BCC">
      <w:pPr>
        <w:spacing w:after="120"/>
        <w:ind w:left="720"/>
        <w:jc w:val="both"/>
        <w:rPr>
          <w:szCs w:val="20"/>
        </w:rPr>
      </w:pPr>
      <w:r w:rsidRPr="00F3468E">
        <w:rPr>
          <w:b/>
          <w:szCs w:val="20"/>
        </w:rPr>
        <w:t xml:space="preserve">Table </w:t>
      </w:r>
      <w:r>
        <w:rPr>
          <w:b/>
          <w:szCs w:val="20"/>
        </w:rPr>
        <w:t>4b</w:t>
      </w:r>
      <w:r>
        <w:rPr>
          <w:szCs w:val="20"/>
        </w:rPr>
        <w:t xml:space="preserve">. Seasonal-spatial coverage of the raw genetics data. Orange shaded cells represent quarter-area strata for which there are no stock of origin data available for the mixture model approach. </w:t>
      </w:r>
    </w:p>
    <w:p w14:paraId="4175798B" w14:textId="2609020C" w:rsidR="00BE0BCC" w:rsidRDefault="00BE0BCC" w:rsidP="00A6622D">
      <w:pPr>
        <w:ind w:left="720"/>
        <w:jc w:val="both"/>
        <w:rPr>
          <w:szCs w:val="20"/>
        </w:rPr>
      </w:pPr>
      <w:r w:rsidRPr="00BE0BCC">
        <w:rPr>
          <w:noProof/>
          <w:lang w:val="en-US"/>
        </w:rPr>
        <w:drawing>
          <wp:inline distT="0" distB="0" distL="0" distR="0" wp14:anchorId="5BAF55E8" wp14:editId="03903F3A">
            <wp:extent cx="4486275" cy="12851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8243" cy="1288601"/>
                    </a:xfrm>
                    <a:prstGeom prst="rect">
                      <a:avLst/>
                    </a:prstGeom>
                    <a:noFill/>
                    <a:ln>
                      <a:noFill/>
                    </a:ln>
                  </pic:spPr>
                </pic:pic>
              </a:graphicData>
            </a:graphic>
          </wp:inline>
        </w:drawing>
      </w:r>
    </w:p>
    <w:p w14:paraId="5DE01EB9" w14:textId="7A077A3E" w:rsidR="00BE0BCC" w:rsidRDefault="00BE0BCC" w:rsidP="00A6622D">
      <w:pPr>
        <w:ind w:left="720"/>
        <w:jc w:val="both"/>
        <w:rPr>
          <w:szCs w:val="20"/>
        </w:rPr>
      </w:pPr>
    </w:p>
    <w:p w14:paraId="0BE990F7" w14:textId="77777777" w:rsidR="00BE0BCC" w:rsidRDefault="00BE0BCC" w:rsidP="00A6622D">
      <w:pPr>
        <w:ind w:left="720"/>
        <w:jc w:val="both"/>
        <w:rPr>
          <w:szCs w:val="20"/>
        </w:rPr>
      </w:pPr>
    </w:p>
    <w:p w14:paraId="092728E9" w14:textId="6C774C72" w:rsidR="00005B29" w:rsidRDefault="00005B29" w:rsidP="00C85272">
      <w:pPr>
        <w:jc w:val="both"/>
        <w:rPr>
          <w:szCs w:val="20"/>
        </w:rPr>
      </w:pPr>
    </w:p>
    <w:p w14:paraId="37BC978B" w14:textId="1FA5241C" w:rsidR="00691C79" w:rsidRDefault="00691C79" w:rsidP="00691C79">
      <w:pPr>
        <w:pStyle w:val="Heading1"/>
      </w:pPr>
      <w:r>
        <w:t>Conclusions</w:t>
      </w:r>
    </w:p>
    <w:p w14:paraId="1D6704D0" w14:textId="143073B6" w:rsidR="00832163" w:rsidRDefault="00832163" w:rsidP="008939BD"/>
    <w:p w14:paraId="21D3BFEC" w14:textId="5CE4EB1D" w:rsidR="00832163" w:rsidRPr="00832163" w:rsidRDefault="00832163" w:rsidP="008939BD">
      <w:pPr>
        <w:jc w:val="both"/>
      </w:pPr>
      <w:r>
        <w:t>The following recommendations arise from these analyses.</w:t>
      </w:r>
    </w:p>
    <w:p w14:paraId="20947F4C" w14:textId="77777777" w:rsidR="00691C79" w:rsidRDefault="00691C79" w:rsidP="008939BD">
      <w:pPr>
        <w:jc w:val="both"/>
        <w:rPr>
          <w:szCs w:val="20"/>
        </w:rPr>
      </w:pPr>
    </w:p>
    <w:p w14:paraId="41F92292" w14:textId="551CAD52" w:rsidR="00691C79" w:rsidRDefault="00691C79" w:rsidP="008939BD">
      <w:pPr>
        <w:pStyle w:val="ListParagraph"/>
        <w:numPr>
          <w:ilvl w:val="0"/>
          <w:numId w:val="10"/>
        </w:numPr>
        <w:jc w:val="both"/>
      </w:pPr>
      <w:r>
        <w:t>Given the efficient use of available otolith microchemistry data and the more precise and credible information regarding spatial stock composition</w:t>
      </w:r>
      <w:r w:rsidR="00832163">
        <w:t>,</w:t>
      </w:r>
      <w:r>
        <w:t xml:space="preserve"> it is recommended that the new mixture modelling approach be used for the conditioning of operating models. </w:t>
      </w:r>
    </w:p>
    <w:p w14:paraId="38A79BB1" w14:textId="77777777" w:rsidR="00691C79" w:rsidRDefault="00691C79" w:rsidP="008939BD">
      <w:pPr>
        <w:jc w:val="both"/>
      </w:pPr>
    </w:p>
    <w:p w14:paraId="7DA15818" w14:textId="68AEBC18" w:rsidR="00691C79" w:rsidRDefault="00691C79" w:rsidP="008939BD">
      <w:pPr>
        <w:pStyle w:val="ListParagraph"/>
        <w:numPr>
          <w:ilvl w:val="0"/>
          <w:numId w:val="10"/>
        </w:numPr>
        <w:jc w:val="both"/>
      </w:pPr>
      <w:r w:rsidRPr="00691C79">
        <w:t xml:space="preserve">Revisiting the available </w:t>
      </w:r>
      <w:r w:rsidR="00C309DA">
        <w:t>otolith chemistry</w:t>
      </w:r>
      <w:r w:rsidR="00C309DA" w:rsidRPr="00691C79">
        <w:t xml:space="preserve"> </w:t>
      </w:r>
      <w:r w:rsidRPr="00691C79">
        <w:t>data reveals that these are patchy in terms of seasonal-spatial coverage even for a 7-area model (Figure 1). Since these are the primary data informing mixing and stock siz</w:t>
      </w:r>
      <w:r>
        <w:t>e</w:t>
      </w:r>
      <w:r w:rsidR="00832163">
        <w:t>,</w:t>
      </w:r>
      <w:r>
        <w:t xml:space="preserve"> it is recommended that operating models move t</w:t>
      </w:r>
      <w:r w:rsidRPr="00691C79">
        <w:t xml:space="preserve">o </w:t>
      </w:r>
      <w:r w:rsidR="00832163">
        <w:t>this</w:t>
      </w:r>
      <w:r w:rsidRPr="00691C79">
        <w:t xml:space="preserve"> simpler spatial model of 7 areas. </w:t>
      </w:r>
    </w:p>
    <w:p w14:paraId="4DD85D3A" w14:textId="77777777" w:rsidR="00691C79" w:rsidRDefault="00691C79" w:rsidP="008939BD">
      <w:pPr>
        <w:jc w:val="both"/>
      </w:pPr>
    </w:p>
    <w:p w14:paraId="574879DE" w14:textId="50117679" w:rsidR="00C85272" w:rsidRDefault="00832163" w:rsidP="008939BD">
      <w:pPr>
        <w:pStyle w:val="ListParagraph"/>
        <w:numPr>
          <w:ilvl w:val="0"/>
          <w:numId w:val="10"/>
        </w:numPr>
        <w:jc w:val="both"/>
      </w:pPr>
      <w:r>
        <w:t xml:space="preserve">We also recommend </w:t>
      </w:r>
      <w:r w:rsidR="00691C79" w:rsidRPr="00691C79">
        <w:t xml:space="preserve">a reconfiguration of the movement estimation </w:t>
      </w:r>
      <w:r>
        <w:t>which has</w:t>
      </w:r>
      <w:r w:rsidR="00691C79" w:rsidRPr="00691C79">
        <w:t xml:space="preserve"> similar movement among the three age classes unless there is evidence to suggest otherwise (i.e. seasonal movements missing data default to the seasonal movements of other age classes that have data rather than a prior of full mixing).</w:t>
      </w:r>
    </w:p>
    <w:p w14:paraId="1AE1C091" w14:textId="77777777" w:rsidR="00691C79" w:rsidRDefault="00691C79" w:rsidP="008939BD">
      <w:pPr>
        <w:pStyle w:val="ListParagraph"/>
        <w:jc w:val="both"/>
      </w:pPr>
    </w:p>
    <w:p w14:paraId="47B23681" w14:textId="029EF1F4" w:rsidR="00691C79" w:rsidRPr="00C85272" w:rsidRDefault="00691C79" w:rsidP="008939BD">
      <w:pPr>
        <w:pStyle w:val="ListParagraph"/>
        <w:numPr>
          <w:ilvl w:val="0"/>
          <w:numId w:val="10"/>
        </w:numPr>
        <w:jc w:val="both"/>
      </w:pPr>
      <w:r>
        <w:t xml:space="preserve">Rather than impute data for the North Atlantic area, the stock mixing should be informed by the available electronic tagging data. If this is problematic, imputation of stock assignment data or the simplification of spatial strata should be considered as a secondary measure. </w:t>
      </w:r>
    </w:p>
    <w:p w14:paraId="06606962" w14:textId="77777777" w:rsidR="00247470" w:rsidRPr="002D2024" w:rsidRDefault="00247470" w:rsidP="008939BD">
      <w:pPr>
        <w:jc w:val="both"/>
        <w:rPr>
          <w:szCs w:val="20"/>
        </w:rPr>
      </w:pPr>
    </w:p>
    <w:p w14:paraId="5071DF2D" w14:textId="77777777" w:rsidR="000E1796" w:rsidRPr="002D2024" w:rsidRDefault="000E1796" w:rsidP="008939BD">
      <w:pPr>
        <w:pStyle w:val="Heading1"/>
        <w:jc w:val="both"/>
        <w:rPr>
          <w:szCs w:val="20"/>
        </w:rPr>
      </w:pPr>
      <w:r w:rsidRPr="002D2024">
        <w:rPr>
          <w:szCs w:val="20"/>
        </w:rPr>
        <w:t>Acknowledgements</w:t>
      </w:r>
    </w:p>
    <w:p w14:paraId="3B8BA587" w14:textId="77777777" w:rsidR="000E1796" w:rsidRPr="002D2024" w:rsidRDefault="000E1796" w:rsidP="008939BD">
      <w:pPr>
        <w:jc w:val="both"/>
        <w:rPr>
          <w:szCs w:val="20"/>
        </w:rPr>
      </w:pPr>
    </w:p>
    <w:p w14:paraId="775A0042" w14:textId="48FAEC74" w:rsidR="000E1796" w:rsidRPr="002D2024" w:rsidRDefault="00691C79" w:rsidP="008939BD">
      <w:pPr>
        <w:jc w:val="both"/>
        <w:rPr>
          <w:szCs w:val="20"/>
        </w:rPr>
      </w:pPr>
      <w:r>
        <w:rPr>
          <w:szCs w:val="20"/>
        </w:rPr>
        <w:t xml:space="preserve">Many thanks </w:t>
      </w:r>
      <w:r w:rsidR="00901E57">
        <w:rPr>
          <w:szCs w:val="20"/>
        </w:rPr>
        <w:t xml:space="preserve">are due </w:t>
      </w:r>
      <w:r>
        <w:rPr>
          <w:szCs w:val="20"/>
        </w:rPr>
        <w:t xml:space="preserve">for the provision of data and feedback by </w:t>
      </w:r>
      <w:proofErr w:type="spellStart"/>
      <w:r>
        <w:rPr>
          <w:szCs w:val="20"/>
        </w:rPr>
        <w:t>Haritz</w:t>
      </w:r>
      <w:proofErr w:type="spellEnd"/>
      <w:r>
        <w:rPr>
          <w:szCs w:val="20"/>
        </w:rPr>
        <w:t xml:space="preserve"> </w:t>
      </w:r>
      <w:proofErr w:type="spellStart"/>
      <w:r>
        <w:rPr>
          <w:szCs w:val="20"/>
        </w:rPr>
        <w:t>Arrizabalaga</w:t>
      </w:r>
      <w:proofErr w:type="spellEnd"/>
      <w:r>
        <w:rPr>
          <w:szCs w:val="20"/>
        </w:rPr>
        <w:t xml:space="preserve">, Alex Hanke and David </w:t>
      </w:r>
      <w:proofErr w:type="spellStart"/>
      <w:r>
        <w:rPr>
          <w:szCs w:val="20"/>
        </w:rPr>
        <w:t>Secor</w:t>
      </w:r>
      <w:proofErr w:type="spellEnd"/>
      <w:r>
        <w:rPr>
          <w:szCs w:val="20"/>
        </w:rPr>
        <w:t xml:space="preserve">. </w:t>
      </w:r>
      <w:r w:rsidR="000E1796" w:rsidRPr="002D2024">
        <w:rPr>
          <w:szCs w:val="20"/>
        </w:rPr>
        <w:t>This work was carried out under the provision of the ICCAT Atlantic Wide Research Programme for Bluefin Tuna (GBYP), funded by the European Union, several ICCAT CPCs, the ICCAT Secretariat and by other entities (see: http://www.iccat.int/GBYP/en/Budget.htm). The contents of this paper do not necessarily reflect the point of view of ICCAT or other funders and in no way anticipate ICCAT future policy in this area.</w:t>
      </w:r>
    </w:p>
    <w:p w14:paraId="52C8EA79" w14:textId="3685B836" w:rsidR="000E1796" w:rsidRPr="002D2024" w:rsidRDefault="000E1796" w:rsidP="002D2024">
      <w:pPr>
        <w:jc w:val="both"/>
        <w:rPr>
          <w:szCs w:val="20"/>
        </w:rPr>
      </w:pPr>
    </w:p>
    <w:p w14:paraId="42F8BE11" w14:textId="77777777" w:rsidR="00030EAE" w:rsidRPr="002D2024" w:rsidRDefault="00030EAE" w:rsidP="002D2024">
      <w:pPr>
        <w:jc w:val="both"/>
        <w:rPr>
          <w:szCs w:val="20"/>
        </w:rPr>
      </w:pPr>
    </w:p>
    <w:p w14:paraId="00D7FF99" w14:textId="77777777" w:rsidR="004756EC" w:rsidRPr="002D2024" w:rsidRDefault="004756EC" w:rsidP="002D2024">
      <w:pPr>
        <w:pStyle w:val="Heading1"/>
        <w:jc w:val="both"/>
        <w:rPr>
          <w:szCs w:val="20"/>
        </w:rPr>
      </w:pPr>
      <w:r w:rsidRPr="002D2024">
        <w:rPr>
          <w:szCs w:val="20"/>
        </w:rPr>
        <w:t>References</w:t>
      </w:r>
    </w:p>
    <w:p w14:paraId="797549AD" w14:textId="77777777" w:rsidR="004756EC" w:rsidRPr="002D2024" w:rsidRDefault="004756EC" w:rsidP="002D2024">
      <w:pPr>
        <w:jc w:val="both"/>
        <w:rPr>
          <w:szCs w:val="20"/>
        </w:rPr>
      </w:pPr>
    </w:p>
    <w:p w14:paraId="00AD2DFE" w14:textId="38F4F5EC" w:rsidR="004E1E8D" w:rsidRPr="00865253" w:rsidRDefault="00660626" w:rsidP="002D2024">
      <w:pPr>
        <w:spacing w:afterLines="40" w:after="96"/>
        <w:ind w:left="425" w:right="-11" w:hanging="425"/>
        <w:jc w:val="both"/>
        <w:rPr>
          <w:lang w:val="fr-CA"/>
        </w:rPr>
      </w:pPr>
      <w:proofErr w:type="spellStart"/>
      <w:r>
        <w:rPr>
          <w:szCs w:val="20"/>
          <w:lang w:val="en-US"/>
        </w:rPr>
        <w:lastRenderedPageBreak/>
        <w:t>Fraile</w:t>
      </w:r>
      <w:proofErr w:type="spellEnd"/>
      <w:r>
        <w:rPr>
          <w:szCs w:val="20"/>
          <w:lang w:val="en-US"/>
        </w:rPr>
        <w:t xml:space="preserve">, I., </w:t>
      </w:r>
      <w:proofErr w:type="spellStart"/>
      <w:r>
        <w:rPr>
          <w:szCs w:val="20"/>
          <w:lang w:val="en-US"/>
        </w:rPr>
        <w:t>Arrizabalaga</w:t>
      </w:r>
      <w:proofErr w:type="spellEnd"/>
      <w:r>
        <w:rPr>
          <w:szCs w:val="20"/>
          <w:lang w:val="en-US"/>
        </w:rPr>
        <w:t xml:space="preserve">, H., </w:t>
      </w:r>
      <w:proofErr w:type="spellStart"/>
      <w:r>
        <w:rPr>
          <w:szCs w:val="20"/>
          <w:lang w:val="en-US"/>
        </w:rPr>
        <w:t>Rooker</w:t>
      </w:r>
      <w:proofErr w:type="spellEnd"/>
      <w:r>
        <w:rPr>
          <w:szCs w:val="20"/>
          <w:lang w:val="en-US"/>
        </w:rPr>
        <w:t>, J. 2014. Origin of Atlantic Bluefin tuna (</w:t>
      </w:r>
      <w:proofErr w:type="spellStart"/>
      <w:r>
        <w:rPr>
          <w:i/>
          <w:szCs w:val="20"/>
          <w:lang w:val="en-US"/>
        </w:rPr>
        <w:t>Thunnus</w:t>
      </w:r>
      <w:proofErr w:type="spellEnd"/>
      <w:r>
        <w:rPr>
          <w:i/>
          <w:szCs w:val="20"/>
          <w:lang w:val="en-US"/>
        </w:rPr>
        <w:t xml:space="preserve"> </w:t>
      </w:r>
      <w:proofErr w:type="spellStart"/>
      <w:r>
        <w:rPr>
          <w:i/>
          <w:szCs w:val="20"/>
          <w:lang w:val="en-US"/>
        </w:rPr>
        <w:t>thynnus</w:t>
      </w:r>
      <w:proofErr w:type="spellEnd"/>
      <w:r>
        <w:rPr>
          <w:szCs w:val="20"/>
          <w:lang w:val="en-US"/>
        </w:rPr>
        <w:t xml:space="preserve">) in the Bay of Biscay. </w:t>
      </w:r>
      <w:r w:rsidRPr="00865253">
        <w:rPr>
          <w:szCs w:val="20"/>
          <w:lang w:val="fr-CA"/>
        </w:rPr>
        <w:t xml:space="preserve">ICES. J. Mar. </w:t>
      </w:r>
      <w:proofErr w:type="spellStart"/>
      <w:r w:rsidRPr="00865253">
        <w:rPr>
          <w:szCs w:val="20"/>
          <w:lang w:val="fr-CA"/>
        </w:rPr>
        <w:t>Sci</w:t>
      </w:r>
      <w:proofErr w:type="spellEnd"/>
      <w:r w:rsidRPr="00865253">
        <w:rPr>
          <w:szCs w:val="20"/>
          <w:lang w:val="fr-CA"/>
        </w:rPr>
        <w:t xml:space="preserve">. </w:t>
      </w:r>
      <w:proofErr w:type="gramStart"/>
      <w:r w:rsidRPr="00865253">
        <w:rPr>
          <w:lang w:val="fr-CA"/>
        </w:rPr>
        <w:t>doi</w:t>
      </w:r>
      <w:proofErr w:type="gramEnd"/>
      <w:r w:rsidRPr="00865253">
        <w:rPr>
          <w:lang w:val="fr-CA"/>
        </w:rPr>
        <w:t>:10.1093/</w:t>
      </w:r>
      <w:proofErr w:type="spellStart"/>
      <w:r w:rsidRPr="00865253">
        <w:rPr>
          <w:lang w:val="fr-CA"/>
        </w:rPr>
        <w:t>icesjms</w:t>
      </w:r>
      <w:proofErr w:type="spellEnd"/>
      <w:r w:rsidRPr="00865253">
        <w:rPr>
          <w:lang w:val="fr-CA"/>
        </w:rPr>
        <w:t>/fsu156</w:t>
      </w:r>
    </w:p>
    <w:p w14:paraId="288B2757" w14:textId="5BBC96C4" w:rsidR="00644A88" w:rsidRDefault="00644A88" w:rsidP="002D2024">
      <w:pPr>
        <w:spacing w:afterLines="40" w:after="96"/>
        <w:ind w:left="425" w:right="-11" w:hanging="425"/>
        <w:jc w:val="both"/>
      </w:pPr>
      <w:r w:rsidRPr="0020014B">
        <w:rPr>
          <w:lang w:val="fr-FR"/>
        </w:rPr>
        <w:t xml:space="preserve">Pritchard, J. K., Stephens, M., Donnelly, P. 2000. </w:t>
      </w:r>
      <w:r>
        <w:t>Inference of popula</w:t>
      </w:r>
      <w:r w:rsidRPr="00644A88">
        <w:t xml:space="preserve">tion structure using </w:t>
      </w:r>
      <w:proofErr w:type="spellStart"/>
      <w:r w:rsidRPr="00644A88">
        <w:t>mul</w:t>
      </w:r>
      <w:r>
        <w:t>tilocus</w:t>
      </w:r>
      <w:proofErr w:type="spellEnd"/>
      <w:r>
        <w:t xml:space="preserve"> genotype data. Genetics.</w:t>
      </w:r>
      <w:r w:rsidRPr="00644A88">
        <w:t xml:space="preserve"> 155(2), 945–959.</w:t>
      </w:r>
    </w:p>
    <w:p w14:paraId="0A82CEBD" w14:textId="78648092" w:rsidR="001624AE" w:rsidRPr="002D2024" w:rsidRDefault="00660626" w:rsidP="009016C4">
      <w:pPr>
        <w:spacing w:afterLines="40" w:after="96"/>
        <w:ind w:left="425" w:right="-11" w:hanging="425"/>
        <w:jc w:val="both"/>
        <w:rPr>
          <w:rFonts w:cs="Times New Roman"/>
          <w:bCs/>
          <w:szCs w:val="20"/>
        </w:rPr>
      </w:pPr>
      <w:r w:rsidRPr="0020014B">
        <w:rPr>
          <w:lang w:val="en-GB"/>
        </w:rPr>
        <w:t xml:space="preserve">Puncher, G.N. et al. 2018. </w:t>
      </w:r>
      <w:r>
        <w:t xml:space="preserve">Spatial dynamics and mixing of Bluefin tuna in the Atlantic Ocean and Mediterranean Sea revealed using next-generation sequencing. </w:t>
      </w:r>
      <w:r w:rsidRPr="00660626">
        <w:t>DOI: 10.1111/1755-0998.12764</w:t>
      </w:r>
    </w:p>
    <w:p w14:paraId="25258E43" w14:textId="100A890F" w:rsidR="00920685" w:rsidRPr="002D2024" w:rsidRDefault="00920685" w:rsidP="002D2024">
      <w:pPr>
        <w:keepNext/>
        <w:keepLines/>
        <w:rPr>
          <w:szCs w:val="20"/>
        </w:rPr>
      </w:pPr>
    </w:p>
    <w:sectPr w:rsidR="00920685" w:rsidRPr="002D2024" w:rsidSect="004756EC">
      <w:headerReference w:type="first" r:id="rId19"/>
      <w:pgSz w:w="11907" w:h="16840" w:code="9"/>
      <w:pgMar w:top="992" w:right="1440" w:bottom="1276"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BA7367" w14:textId="77777777" w:rsidR="00790CD3" w:rsidRDefault="00790CD3" w:rsidP="003B5FF7">
      <w:r>
        <w:separator/>
      </w:r>
    </w:p>
  </w:endnote>
  <w:endnote w:type="continuationSeparator" w:id="0">
    <w:p w14:paraId="5BA94CB0" w14:textId="77777777" w:rsidR="00790CD3" w:rsidRDefault="00790CD3" w:rsidP="003B5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056D65" w14:textId="77777777" w:rsidR="00790CD3" w:rsidRDefault="00790CD3" w:rsidP="003B5FF7">
      <w:r>
        <w:separator/>
      </w:r>
    </w:p>
  </w:footnote>
  <w:footnote w:type="continuationSeparator" w:id="0">
    <w:p w14:paraId="2538B68A" w14:textId="77777777" w:rsidR="00790CD3" w:rsidRDefault="00790CD3" w:rsidP="003B5FF7">
      <w:r>
        <w:continuationSeparator/>
      </w:r>
    </w:p>
  </w:footnote>
  <w:footnote w:id="1">
    <w:p w14:paraId="674705A9" w14:textId="3C48F4F7" w:rsidR="002E5718" w:rsidRPr="000934A5" w:rsidRDefault="002E5718" w:rsidP="004E17B7">
      <w:pPr>
        <w:pStyle w:val="FootnoteText"/>
        <w:rPr>
          <w:sz w:val="18"/>
          <w:szCs w:val="18"/>
        </w:rPr>
      </w:pPr>
      <w:r w:rsidRPr="000934A5">
        <w:rPr>
          <w:rStyle w:val="FootnoteReference"/>
          <w:sz w:val="18"/>
          <w:szCs w:val="18"/>
        </w:rPr>
        <w:footnoteRef/>
      </w:r>
      <w:r w:rsidRPr="000934A5">
        <w:rPr>
          <w:sz w:val="18"/>
          <w:szCs w:val="18"/>
        </w:rPr>
        <w:t xml:space="preserve"> IOF, 2202 Main Mall, University of British Columbia, Vancouver, B.C.,</w:t>
      </w:r>
      <w:r>
        <w:rPr>
          <w:sz w:val="18"/>
          <w:szCs w:val="18"/>
        </w:rPr>
        <w:t xml:space="preserve"> Canada, V6T 1Z4. </w:t>
      </w:r>
      <w:hyperlink r:id="rId1" w:history="1">
        <w:r w:rsidRPr="00ED24B5">
          <w:rPr>
            <w:rStyle w:val="Hyperlink"/>
            <w:sz w:val="18"/>
            <w:szCs w:val="18"/>
          </w:rPr>
          <w:t>t.carruthers@oceans.ubc.ca</w:t>
        </w:r>
      </w:hyperlink>
      <w:r>
        <w:rPr>
          <w:sz w:val="18"/>
          <w:szCs w:val="18"/>
        </w:rPr>
        <w:t xml:space="preserve"> </w:t>
      </w:r>
    </w:p>
  </w:footnote>
  <w:footnote w:id="2">
    <w:p w14:paraId="368EB754" w14:textId="5D4DF894" w:rsidR="002E5718" w:rsidRDefault="002E5718">
      <w:pPr>
        <w:pStyle w:val="FootnoteText"/>
      </w:pPr>
      <w:r>
        <w:rPr>
          <w:rStyle w:val="FootnoteReference"/>
        </w:rPr>
        <w:footnoteRef/>
      </w:r>
      <w:r>
        <w:t xml:space="preserve"> </w:t>
      </w:r>
      <w:r>
        <w:rPr>
          <w:sz w:val="18"/>
          <w:szCs w:val="18"/>
        </w:rPr>
        <w:t>Department of Mathematics</w:t>
      </w:r>
      <w:r w:rsidR="00931920">
        <w:rPr>
          <w:sz w:val="18"/>
          <w:szCs w:val="18"/>
        </w:rPr>
        <w:t xml:space="preserve"> </w:t>
      </w:r>
      <w:r>
        <w:rPr>
          <w:sz w:val="18"/>
          <w:szCs w:val="18"/>
        </w:rPr>
        <w:t>and Applied Mathematics,</w:t>
      </w:r>
      <w:r w:rsidR="00931920">
        <w:rPr>
          <w:sz w:val="18"/>
          <w:szCs w:val="18"/>
        </w:rPr>
        <w:t xml:space="preserve"> </w:t>
      </w:r>
      <w:r w:rsidRPr="0058379D">
        <w:rPr>
          <w:sz w:val="18"/>
          <w:szCs w:val="18"/>
        </w:rPr>
        <w:t>University of Cape Town, Rondebosch 7701, South Africa</w:t>
      </w:r>
      <w:r>
        <w:rPr>
          <w:sz w:val="18"/>
          <w:szCs w:val="18"/>
        </w:rPr>
        <w:t>.</w:t>
      </w:r>
      <w:r w:rsidRPr="0058379D">
        <w:t xml:space="preserve"> </w:t>
      </w:r>
      <w:r w:rsidRPr="0058379D">
        <w:rPr>
          <w:sz w:val="18"/>
          <w:szCs w:val="18"/>
        </w:rPr>
        <w:t>doug.butterworth@uct.ac.za</w:t>
      </w:r>
      <w:r>
        <w:rPr>
          <w:sz w:val="18"/>
          <w:szCs w:val="18"/>
        </w:rPr>
        <w:t xml:space="preserve"> </w:t>
      </w:r>
    </w:p>
  </w:footnote>
  <w:footnote w:id="3">
    <w:p w14:paraId="4CCA056C" w14:textId="392620F3" w:rsidR="0036231C" w:rsidRPr="008939BD" w:rsidRDefault="0036231C" w:rsidP="008939BD">
      <w:pPr>
        <w:pStyle w:val="FootnoteText"/>
        <w:jc w:val="both"/>
        <w:rPr>
          <w:sz w:val="18"/>
          <w:szCs w:val="18"/>
          <w:lang w:val="en-ZA"/>
        </w:rPr>
      </w:pPr>
      <w:r>
        <w:rPr>
          <w:rStyle w:val="FootnoteReference"/>
        </w:rPr>
        <w:footnoteRef/>
      </w:r>
      <w:r>
        <w:t xml:space="preserve"> </w:t>
      </w:r>
      <w:r w:rsidRPr="008939BD">
        <w:rPr>
          <w:sz w:val="18"/>
          <w:szCs w:val="18"/>
          <w:lang w:val="en-ZA"/>
        </w:rPr>
        <w:t xml:space="preserve">Effectively we are treating these fractions in the same way that separate alleles are treated in genetic analyses. The approach developed is then identical to that used to </w:t>
      </w:r>
      <w:r w:rsidR="00AE25A0" w:rsidRPr="008939BD">
        <w:rPr>
          <w:sz w:val="18"/>
          <w:szCs w:val="18"/>
          <w:lang w:val="en-ZA"/>
        </w:rPr>
        <w:t xml:space="preserve">estimate the proportion of one stock present in a mixture of two stocks from the distribution of alleles for this mixture when data for the distribution of alleles for each stock separately is available.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B3705" w14:textId="079E0691" w:rsidR="002E5718" w:rsidRPr="00066B92" w:rsidRDefault="002E5718" w:rsidP="00AE7248">
    <w:pPr>
      <w:tabs>
        <w:tab w:val="right" w:pos="9072"/>
      </w:tabs>
    </w:pPr>
    <w:r>
      <w:t>SCRS/2018/</w:t>
    </w:r>
    <w:r w:rsidR="0020014B">
      <w:t>133</w:t>
    </w:r>
    <w:r w:rsidRPr="00AE7248">
      <w:rPr>
        <w:rFonts w:ascii="Arial" w:hAnsi="Arial"/>
      </w:rPr>
      <w:t xml:space="preserve"> </w:t>
    </w:r>
    <w:r w:rsidRPr="007169FC">
      <w:rPr>
        <w:rFonts w:ascii="Arial" w:hAnsi="Arial"/>
      </w:rPr>
      <w:tab/>
      <w:t xml:space="preserve">Collect. Vol. Sci. Pap. </w:t>
    </w:r>
    <w:r>
      <w:rPr>
        <w:rFonts w:ascii="Arial" w:hAnsi="Arial"/>
      </w:rPr>
      <w:t>ICCAT, ??(?): ???-??? (2018)</w:t>
    </w:r>
  </w:p>
  <w:p w14:paraId="2CB8DE31" w14:textId="41899498" w:rsidR="002E5718" w:rsidRDefault="002E5718" w:rsidP="00532620">
    <w:pPr>
      <w:pStyle w:val="Header"/>
    </w:pPr>
    <w:r>
      <w:t xml:space="preserve">                                                    </w:t>
    </w:r>
  </w:p>
  <w:p w14:paraId="4B30BB64" w14:textId="77777777" w:rsidR="002E5718" w:rsidRDefault="002E57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3341D"/>
    <w:multiLevelType w:val="hybridMultilevel"/>
    <w:tmpl w:val="1F3205C6"/>
    <w:lvl w:ilvl="0" w:tplc="E654E84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D05E9B"/>
    <w:multiLevelType w:val="hybridMultilevel"/>
    <w:tmpl w:val="56C2C95C"/>
    <w:lvl w:ilvl="0" w:tplc="4740D4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1A605E"/>
    <w:multiLevelType w:val="hybridMultilevel"/>
    <w:tmpl w:val="92D47796"/>
    <w:lvl w:ilvl="0" w:tplc="505C5774">
      <w:start w:val="1"/>
      <w:numFmt w:val="decimal"/>
      <w:lvlText w:val="(%1)"/>
      <w:lvlJc w:val="left"/>
      <w:pPr>
        <w:ind w:left="720" w:hanging="360"/>
      </w:pPr>
      <w:rPr>
        <w:rFonts w:ascii="Times New Roman" w:eastAsiaTheme="minorHAnsi" w:hAnsi="Times New Roman" w:cstheme="minorBidi"/>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42E25B6"/>
    <w:multiLevelType w:val="hybridMultilevel"/>
    <w:tmpl w:val="BBA43190"/>
    <w:lvl w:ilvl="0" w:tplc="D9A40238">
      <w:start w:val="1"/>
      <w:numFmt w:val="decimal"/>
      <w:lvlText w:val="%1."/>
      <w:lvlJc w:val="left"/>
      <w:pPr>
        <w:ind w:left="720" w:hanging="360"/>
      </w:pPr>
      <w:rPr>
        <w:rFonts w:ascii="Times New Roman" w:hAnsi="Times New Roman" w:hint="default"/>
        <w:b w:val="0"/>
        <w:color w:val="auto"/>
        <w:sz w:val="20"/>
        <w:lang w:val="es-E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2CA3CA6"/>
    <w:multiLevelType w:val="hybridMultilevel"/>
    <w:tmpl w:val="A602292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3DD1002"/>
    <w:multiLevelType w:val="hybridMultilevel"/>
    <w:tmpl w:val="170A3DB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61D458CB"/>
    <w:multiLevelType w:val="hybridMultilevel"/>
    <w:tmpl w:val="948C3922"/>
    <w:lvl w:ilvl="0" w:tplc="8048AF10">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E196A7D"/>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9"/>
  </w:num>
  <w:num w:numId="2">
    <w:abstractNumId w:val="5"/>
  </w:num>
  <w:num w:numId="3">
    <w:abstractNumId w:val="7"/>
  </w:num>
  <w:num w:numId="4">
    <w:abstractNumId w:val="2"/>
  </w:num>
  <w:num w:numId="5">
    <w:abstractNumId w:val="0"/>
  </w:num>
  <w:num w:numId="6">
    <w:abstractNumId w:val="8"/>
  </w:num>
  <w:num w:numId="7">
    <w:abstractNumId w:val="3"/>
  </w:num>
  <w:num w:numId="8">
    <w:abstractNumId w:val="6"/>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FF7"/>
    <w:rsid w:val="00000C15"/>
    <w:rsid w:val="000011D7"/>
    <w:rsid w:val="00001FA7"/>
    <w:rsid w:val="00003814"/>
    <w:rsid w:val="0000387F"/>
    <w:rsid w:val="00005B29"/>
    <w:rsid w:val="00020915"/>
    <w:rsid w:val="00023ADD"/>
    <w:rsid w:val="000304A7"/>
    <w:rsid w:val="00030EAE"/>
    <w:rsid w:val="00042CBB"/>
    <w:rsid w:val="00043093"/>
    <w:rsid w:val="00050A47"/>
    <w:rsid w:val="00050E08"/>
    <w:rsid w:val="0005109D"/>
    <w:rsid w:val="00055D6E"/>
    <w:rsid w:val="00056C23"/>
    <w:rsid w:val="0006069D"/>
    <w:rsid w:val="000653A6"/>
    <w:rsid w:val="00067A24"/>
    <w:rsid w:val="000770F6"/>
    <w:rsid w:val="0008077F"/>
    <w:rsid w:val="00080DA7"/>
    <w:rsid w:val="00081C2C"/>
    <w:rsid w:val="00082AFE"/>
    <w:rsid w:val="00084F94"/>
    <w:rsid w:val="000934A5"/>
    <w:rsid w:val="00093AFC"/>
    <w:rsid w:val="00094003"/>
    <w:rsid w:val="0009646D"/>
    <w:rsid w:val="0009732A"/>
    <w:rsid w:val="000A0737"/>
    <w:rsid w:val="000A74D7"/>
    <w:rsid w:val="000A76F9"/>
    <w:rsid w:val="000B5BE3"/>
    <w:rsid w:val="000C05C8"/>
    <w:rsid w:val="000C33E3"/>
    <w:rsid w:val="000C50C8"/>
    <w:rsid w:val="000C7253"/>
    <w:rsid w:val="000D04AD"/>
    <w:rsid w:val="000D17E9"/>
    <w:rsid w:val="000D4BAC"/>
    <w:rsid w:val="000D5648"/>
    <w:rsid w:val="000E1796"/>
    <w:rsid w:val="000E26B5"/>
    <w:rsid w:val="000E4153"/>
    <w:rsid w:val="000E47FD"/>
    <w:rsid w:val="000E6A92"/>
    <w:rsid w:val="000F3A17"/>
    <w:rsid w:val="00100749"/>
    <w:rsid w:val="001032C5"/>
    <w:rsid w:val="001078F2"/>
    <w:rsid w:val="001140E8"/>
    <w:rsid w:val="00115297"/>
    <w:rsid w:val="001174AE"/>
    <w:rsid w:val="001176BF"/>
    <w:rsid w:val="00121206"/>
    <w:rsid w:val="001256DA"/>
    <w:rsid w:val="00127CF4"/>
    <w:rsid w:val="00130A5A"/>
    <w:rsid w:val="00131E4A"/>
    <w:rsid w:val="00132184"/>
    <w:rsid w:val="00133E56"/>
    <w:rsid w:val="00134F0A"/>
    <w:rsid w:val="001409D9"/>
    <w:rsid w:val="00144169"/>
    <w:rsid w:val="001470B2"/>
    <w:rsid w:val="00161EDF"/>
    <w:rsid w:val="001624AE"/>
    <w:rsid w:val="00162545"/>
    <w:rsid w:val="001637E4"/>
    <w:rsid w:val="00164EA7"/>
    <w:rsid w:val="00167A82"/>
    <w:rsid w:val="00171055"/>
    <w:rsid w:val="00176645"/>
    <w:rsid w:val="001A3E5E"/>
    <w:rsid w:val="001C1C4C"/>
    <w:rsid w:val="001C48D6"/>
    <w:rsid w:val="001C528A"/>
    <w:rsid w:val="001C6455"/>
    <w:rsid w:val="001D087F"/>
    <w:rsid w:val="001D18BD"/>
    <w:rsid w:val="001E4B58"/>
    <w:rsid w:val="001F274F"/>
    <w:rsid w:val="001F2B95"/>
    <w:rsid w:val="001F6BC1"/>
    <w:rsid w:val="0020014B"/>
    <w:rsid w:val="002001C1"/>
    <w:rsid w:val="002040E4"/>
    <w:rsid w:val="002052B9"/>
    <w:rsid w:val="00210DEC"/>
    <w:rsid w:val="00220820"/>
    <w:rsid w:val="0022570B"/>
    <w:rsid w:val="00225C0D"/>
    <w:rsid w:val="00242F1A"/>
    <w:rsid w:val="002432F1"/>
    <w:rsid w:val="00247470"/>
    <w:rsid w:val="00254E45"/>
    <w:rsid w:val="00255E6C"/>
    <w:rsid w:val="00257E20"/>
    <w:rsid w:val="0026117F"/>
    <w:rsid w:val="00261B6D"/>
    <w:rsid w:val="002654D0"/>
    <w:rsid w:val="002848B6"/>
    <w:rsid w:val="00284D61"/>
    <w:rsid w:val="00287883"/>
    <w:rsid w:val="00290FDD"/>
    <w:rsid w:val="002A091D"/>
    <w:rsid w:val="002A266B"/>
    <w:rsid w:val="002A330E"/>
    <w:rsid w:val="002A6D35"/>
    <w:rsid w:val="002B0171"/>
    <w:rsid w:val="002B05B6"/>
    <w:rsid w:val="002B156A"/>
    <w:rsid w:val="002B2980"/>
    <w:rsid w:val="002B677A"/>
    <w:rsid w:val="002B6D60"/>
    <w:rsid w:val="002C044D"/>
    <w:rsid w:val="002C26C5"/>
    <w:rsid w:val="002C7AF8"/>
    <w:rsid w:val="002D2024"/>
    <w:rsid w:val="002D53D1"/>
    <w:rsid w:val="002E04AB"/>
    <w:rsid w:val="002E3C7E"/>
    <w:rsid w:val="002E4D73"/>
    <w:rsid w:val="002E5453"/>
    <w:rsid w:val="002E5718"/>
    <w:rsid w:val="002F0BD2"/>
    <w:rsid w:val="002F5DBD"/>
    <w:rsid w:val="00303614"/>
    <w:rsid w:val="00312EF7"/>
    <w:rsid w:val="00314D48"/>
    <w:rsid w:val="003173A4"/>
    <w:rsid w:val="003263DA"/>
    <w:rsid w:val="0033128E"/>
    <w:rsid w:val="00334347"/>
    <w:rsid w:val="00344FA6"/>
    <w:rsid w:val="003479AD"/>
    <w:rsid w:val="0035416E"/>
    <w:rsid w:val="0036231C"/>
    <w:rsid w:val="00364DF5"/>
    <w:rsid w:val="00366037"/>
    <w:rsid w:val="003720A2"/>
    <w:rsid w:val="00372423"/>
    <w:rsid w:val="003734CB"/>
    <w:rsid w:val="003747A2"/>
    <w:rsid w:val="00380CA6"/>
    <w:rsid w:val="0038115E"/>
    <w:rsid w:val="0039034E"/>
    <w:rsid w:val="003923A6"/>
    <w:rsid w:val="00396662"/>
    <w:rsid w:val="0039736D"/>
    <w:rsid w:val="003976A0"/>
    <w:rsid w:val="003A1DE2"/>
    <w:rsid w:val="003A3507"/>
    <w:rsid w:val="003B284A"/>
    <w:rsid w:val="003B3485"/>
    <w:rsid w:val="003B3A82"/>
    <w:rsid w:val="003B457A"/>
    <w:rsid w:val="003B5FF7"/>
    <w:rsid w:val="003C03A3"/>
    <w:rsid w:val="003C27AE"/>
    <w:rsid w:val="003C4CB6"/>
    <w:rsid w:val="003C506D"/>
    <w:rsid w:val="003D3593"/>
    <w:rsid w:val="003D4A68"/>
    <w:rsid w:val="003D50F4"/>
    <w:rsid w:val="003E004D"/>
    <w:rsid w:val="003E40ED"/>
    <w:rsid w:val="003E4749"/>
    <w:rsid w:val="003E4FCD"/>
    <w:rsid w:val="003E5F26"/>
    <w:rsid w:val="003F373C"/>
    <w:rsid w:val="00401491"/>
    <w:rsid w:val="00403045"/>
    <w:rsid w:val="00416473"/>
    <w:rsid w:val="00422F3A"/>
    <w:rsid w:val="004230A6"/>
    <w:rsid w:val="004231D0"/>
    <w:rsid w:val="00425448"/>
    <w:rsid w:val="004317EA"/>
    <w:rsid w:val="00431E5A"/>
    <w:rsid w:val="00432337"/>
    <w:rsid w:val="004470FD"/>
    <w:rsid w:val="0045462D"/>
    <w:rsid w:val="00464908"/>
    <w:rsid w:val="00464EFF"/>
    <w:rsid w:val="004713B1"/>
    <w:rsid w:val="004756EC"/>
    <w:rsid w:val="004777D4"/>
    <w:rsid w:val="0048083A"/>
    <w:rsid w:val="00480F99"/>
    <w:rsid w:val="00482486"/>
    <w:rsid w:val="00482E74"/>
    <w:rsid w:val="00483646"/>
    <w:rsid w:val="00483C1F"/>
    <w:rsid w:val="004870C9"/>
    <w:rsid w:val="00494985"/>
    <w:rsid w:val="00497C25"/>
    <w:rsid w:val="004A0CAE"/>
    <w:rsid w:val="004A4FB1"/>
    <w:rsid w:val="004A62CA"/>
    <w:rsid w:val="004B0D15"/>
    <w:rsid w:val="004B4540"/>
    <w:rsid w:val="004B6B38"/>
    <w:rsid w:val="004B78AA"/>
    <w:rsid w:val="004C1F57"/>
    <w:rsid w:val="004C4D88"/>
    <w:rsid w:val="004C5F10"/>
    <w:rsid w:val="004C73F2"/>
    <w:rsid w:val="004D02A3"/>
    <w:rsid w:val="004D0836"/>
    <w:rsid w:val="004D0D44"/>
    <w:rsid w:val="004D227E"/>
    <w:rsid w:val="004D5245"/>
    <w:rsid w:val="004E09D2"/>
    <w:rsid w:val="004E1256"/>
    <w:rsid w:val="004E17B7"/>
    <w:rsid w:val="004E1E8D"/>
    <w:rsid w:val="004E3BA9"/>
    <w:rsid w:val="004E4286"/>
    <w:rsid w:val="004E581E"/>
    <w:rsid w:val="004E6CE4"/>
    <w:rsid w:val="004F2B7B"/>
    <w:rsid w:val="004F2E5E"/>
    <w:rsid w:val="004F432A"/>
    <w:rsid w:val="004F493F"/>
    <w:rsid w:val="004F4FFF"/>
    <w:rsid w:val="004F5D3E"/>
    <w:rsid w:val="005002CF"/>
    <w:rsid w:val="00501A91"/>
    <w:rsid w:val="00503243"/>
    <w:rsid w:val="0050335F"/>
    <w:rsid w:val="00510971"/>
    <w:rsid w:val="00511CD7"/>
    <w:rsid w:val="0051640D"/>
    <w:rsid w:val="0052026C"/>
    <w:rsid w:val="00521603"/>
    <w:rsid w:val="00522D79"/>
    <w:rsid w:val="00525426"/>
    <w:rsid w:val="00532620"/>
    <w:rsid w:val="00533448"/>
    <w:rsid w:val="00533A5B"/>
    <w:rsid w:val="00541B93"/>
    <w:rsid w:val="0054232D"/>
    <w:rsid w:val="005437D9"/>
    <w:rsid w:val="0054419F"/>
    <w:rsid w:val="00550C43"/>
    <w:rsid w:val="0055128E"/>
    <w:rsid w:val="005514AD"/>
    <w:rsid w:val="0055151B"/>
    <w:rsid w:val="00564D64"/>
    <w:rsid w:val="005650BF"/>
    <w:rsid w:val="00567007"/>
    <w:rsid w:val="00567AE2"/>
    <w:rsid w:val="005739D3"/>
    <w:rsid w:val="005762FD"/>
    <w:rsid w:val="00576762"/>
    <w:rsid w:val="00577818"/>
    <w:rsid w:val="00581750"/>
    <w:rsid w:val="0058243B"/>
    <w:rsid w:val="005826EB"/>
    <w:rsid w:val="0058379D"/>
    <w:rsid w:val="005871A1"/>
    <w:rsid w:val="00590DA0"/>
    <w:rsid w:val="005914B3"/>
    <w:rsid w:val="0059637F"/>
    <w:rsid w:val="005A3890"/>
    <w:rsid w:val="005B05B5"/>
    <w:rsid w:val="005B18C4"/>
    <w:rsid w:val="005B39D3"/>
    <w:rsid w:val="005B4ECC"/>
    <w:rsid w:val="005B4F38"/>
    <w:rsid w:val="005C0AFC"/>
    <w:rsid w:val="005D0B70"/>
    <w:rsid w:val="005D7DB9"/>
    <w:rsid w:val="005E48E2"/>
    <w:rsid w:val="005E5E5B"/>
    <w:rsid w:val="005E667E"/>
    <w:rsid w:val="005F3661"/>
    <w:rsid w:val="005F5C39"/>
    <w:rsid w:val="00610D95"/>
    <w:rsid w:val="00620BA6"/>
    <w:rsid w:val="006210F2"/>
    <w:rsid w:val="00625EF4"/>
    <w:rsid w:val="00633884"/>
    <w:rsid w:val="00634253"/>
    <w:rsid w:val="006360EB"/>
    <w:rsid w:val="00636429"/>
    <w:rsid w:val="00644A88"/>
    <w:rsid w:val="00644C5B"/>
    <w:rsid w:val="0065698B"/>
    <w:rsid w:val="00660626"/>
    <w:rsid w:val="00664465"/>
    <w:rsid w:val="00667429"/>
    <w:rsid w:val="006702DB"/>
    <w:rsid w:val="00675895"/>
    <w:rsid w:val="00675D16"/>
    <w:rsid w:val="00684B5F"/>
    <w:rsid w:val="00685503"/>
    <w:rsid w:val="00685691"/>
    <w:rsid w:val="00687D8F"/>
    <w:rsid w:val="00691C79"/>
    <w:rsid w:val="006A280B"/>
    <w:rsid w:val="006A4300"/>
    <w:rsid w:val="006A49F3"/>
    <w:rsid w:val="006A6C8C"/>
    <w:rsid w:val="006A7E40"/>
    <w:rsid w:val="006A7FB0"/>
    <w:rsid w:val="006B6F0D"/>
    <w:rsid w:val="006B75EB"/>
    <w:rsid w:val="006C22FA"/>
    <w:rsid w:val="006C5735"/>
    <w:rsid w:val="006C6862"/>
    <w:rsid w:val="006D1D0D"/>
    <w:rsid w:val="006D2915"/>
    <w:rsid w:val="006D405E"/>
    <w:rsid w:val="006E29AC"/>
    <w:rsid w:val="006E4B5F"/>
    <w:rsid w:val="006E5BE6"/>
    <w:rsid w:val="006E77F7"/>
    <w:rsid w:val="006F30E4"/>
    <w:rsid w:val="006F3DD4"/>
    <w:rsid w:val="006F4A4C"/>
    <w:rsid w:val="006F709F"/>
    <w:rsid w:val="007022A4"/>
    <w:rsid w:val="007062FC"/>
    <w:rsid w:val="00707D2C"/>
    <w:rsid w:val="007114C1"/>
    <w:rsid w:val="00715388"/>
    <w:rsid w:val="00716E79"/>
    <w:rsid w:val="0072169B"/>
    <w:rsid w:val="007242B5"/>
    <w:rsid w:val="00724406"/>
    <w:rsid w:val="0072484F"/>
    <w:rsid w:val="00724C98"/>
    <w:rsid w:val="007253F8"/>
    <w:rsid w:val="00725801"/>
    <w:rsid w:val="0072628C"/>
    <w:rsid w:val="007334BB"/>
    <w:rsid w:val="00733A1B"/>
    <w:rsid w:val="00733AB3"/>
    <w:rsid w:val="0073640F"/>
    <w:rsid w:val="00742069"/>
    <w:rsid w:val="00742CC0"/>
    <w:rsid w:val="00745B9E"/>
    <w:rsid w:val="00745CC2"/>
    <w:rsid w:val="00751658"/>
    <w:rsid w:val="007561A4"/>
    <w:rsid w:val="00757508"/>
    <w:rsid w:val="0076669C"/>
    <w:rsid w:val="007714F2"/>
    <w:rsid w:val="007749F6"/>
    <w:rsid w:val="00776CDD"/>
    <w:rsid w:val="00786EFC"/>
    <w:rsid w:val="00790CD3"/>
    <w:rsid w:val="00791219"/>
    <w:rsid w:val="007917FD"/>
    <w:rsid w:val="007A013E"/>
    <w:rsid w:val="007A3578"/>
    <w:rsid w:val="007A3F4B"/>
    <w:rsid w:val="007A7839"/>
    <w:rsid w:val="007B7873"/>
    <w:rsid w:val="007B7D05"/>
    <w:rsid w:val="007C1C06"/>
    <w:rsid w:val="007C2474"/>
    <w:rsid w:val="007C46DC"/>
    <w:rsid w:val="007C4BE8"/>
    <w:rsid w:val="007C525F"/>
    <w:rsid w:val="007C6DC3"/>
    <w:rsid w:val="007C6F24"/>
    <w:rsid w:val="007C79DC"/>
    <w:rsid w:val="007D027C"/>
    <w:rsid w:val="007D1745"/>
    <w:rsid w:val="007D2903"/>
    <w:rsid w:val="007D4877"/>
    <w:rsid w:val="007E4A1F"/>
    <w:rsid w:val="007E7059"/>
    <w:rsid w:val="0080392F"/>
    <w:rsid w:val="008072A0"/>
    <w:rsid w:val="00813AA2"/>
    <w:rsid w:val="0081697E"/>
    <w:rsid w:val="00831B8B"/>
    <w:rsid w:val="00832163"/>
    <w:rsid w:val="008365CB"/>
    <w:rsid w:val="008412DE"/>
    <w:rsid w:val="00844664"/>
    <w:rsid w:val="00850F72"/>
    <w:rsid w:val="00852AE9"/>
    <w:rsid w:val="00854A45"/>
    <w:rsid w:val="008551EA"/>
    <w:rsid w:val="00855801"/>
    <w:rsid w:val="00855BB1"/>
    <w:rsid w:val="00855C79"/>
    <w:rsid w:val="00857B60"/>
    <w:rsid w:val="008616B9"/>
    <w:rsid w:val="0086191A"/>
    <w:rsid w:val="00862925"/>
    <w:rsid w:val="00864211"/>
    <w:rsid w:val="008642A0"/>
    <w:rsid w:val="00865253"/>
    <w:rsid w:val="008711F0"/>
    <w:rsid w:val="008713D4"/>
    <w:rsid w:val="00873FC7"/>
    <w:rsid w:val="00876EE9"/>
    <w:rsid w:val="00880F9E"/>
    <w:rsid w:val="008833BD"/>
    <w:rsid w:val="008926C0"/>
    <w:rsid w:val="00892735"/>
    <w:rsid w:val="00893193"/>
    <w:rsid w:val="008939BD"/>
    <w:rsid w:val="00894753"/>
    <w:rsid w:val="00894973"/>
    <w:rsid w:val="00897095"/>
    <w:rsid w:val="008979E1"/>
    <w:rsid w:val="008A092B"/>
    <w:rsid w:val="008A150E"/>
    <w:rsid w:val="008A1832"/>
    <w:rsid w:val="008A2FBD"/>
    <w:rsid w:val="008B566C"/>
    <w:rsid w:val="008C0190"/>
    <w:rsid w:val="008C3CDC"/>
    <w:rsid w:val="008C6481"/>
    <w:rsid w:val="008D1515"/>
    <w:rsid w:val="008D1F3A"/>
    <w:rsid w:val="008E0334"/>
    <w:rsid w:val="008E5633"/>
    <w:rsid w:val="008E5E0C"/>
    <w:rsid w:val="008E62E2"/>
    <w:rsid w:val="009016C4"/>
    <w:rsid w:val="00901E12"/>
    <w:rsid w:val="00901E57"/>
    <w:rsid w:val="00905E47"/>
    <w:rsid w:val="00906B8D"/>
    <w:rsid w:val="00907603"/>
    <w:rsid w:val="00912187"/>
    <w:rsid w:val="00912EB6"/>
    <w:rsid w:val="009146FC"/>
    <w:rsid w:val="00916F2A"/>
    <w:rsid w:val="00920685"/>
    <w:rsid w:val="00931920"/>
    <w:rsid w:val="0093247F"/>
    <w:rsid w:val="00933F51"/>
    <w:rsid w:val="0093422A"/>
    <w:rsid w:val="00945D1D"/>
    <w:rsid w:val="00951331"/>
    <w:rsid w:val="00952F03"/>
    <w:rsid w:val="00954998"/>
    <w:rsid w:val="00960020"/>
    <w:rsid w:val="00960681"/>
    <w:rsid w:val="00961255"/>
    <w:rsid w:val="009615A4"/>
    <w:rsid w:val="0096574B"/>
    <w:rsid w:val="009762C5"/>
    <w:rsid w:val="00977D72"/>
    <w:rsid w:val="009850BD"/>
    <w:rsid w:val="00985752"/>
    <w:rsid w:val="00986B74"/>
    <w:rsid w:val="0099189C"/>
    <w:rsid w:val="009A19DF"/>
    <w:rsid w:val="009A6B0C"/>
    <w:rsid w:val="009B203E"/>
    <w:rsid w:val="009C72C9"/>
    <w:rsid w:val="009D144F"/>
    <w:rsid w:val="009D5097"/>
    <w:rsid w:val="009E0C4D"/>
    <w:rsid w:val="009E2D14"/>
    <w:rsid w:val="009E3DFF"/>
    <w:rsid w:val="009F101C"/>
    <w:rsid w:val="009F1476"/>
    <w:rsid w:val="009F3F59"/>
    <w:rsid w:val="009F6674"/>
    <w:rsid w:val="009F743E"/>
    <w:rsid w:val="009F791A"/>
    <w:rsid w:val="00A0032D"/>
    <w:rsid w:val="00A10C68"/>
    <w:rsid w:val="00A11FED"/>
    <w:rsid w:val="00A215AA"/>
    <w:rsid w:val="00A251F1"/>
    <w:rsid w:val="00A31F64"/>
    <w:rsid w:val="00A33F3B"/>
    <w:rsid w:val="00A35689"/>
    <w:rsid w:val="00A357DF"/>
    <w:rsid w:val="00A358A5"/>
    <w:rsid w:val="00A51154"/>
    <w:rsid w:val="00A523F5"/>
    <w:rsid w:val="00A54837"/>
    <w:rsid w:val="00A56824"/>
    <w:rsid w:val="00A60829"/>
    <w:rsid w:val="00A63733"/>
    <w:rsid w:val="00A6622D"/>
    <w:rsid w:val="00A6723A"/>
    <w:rsid w:val="00A76E65"/>
    <w:rsid w:val="00A80759"/>
    <w:rsid w:val="00A8201D"/>
    <w:rsid w:val="00A82BF9"/>
    <w:rsid w:val="00A830BA"/>
    <w:rsid w:val="00A84DE1"/>
    <w:rsid w:val="00A85A82"/>
    <w:rsid w:val="00A87707"/>
    <w:rsid w:val="00A945DE"/>
    <w:rsid w:val="00A94FD9"/>
    <w:rsid w:val="00A957A4"/>
    <w:rsid w:val="00AA0CF4"/>
    <w:rsid w:val="00AA5092"/>
    <w:rsid w:val="00AA5628"/>
    <w:rsid w:val="00AA662A"/>
    <w:rsid w:val="00AA7082"/>
    <w:rsid w:val="00AB0827"/>
    <w:rsid w:val="00AB32AF"/>
    <w:rsid w:val="00AB41CA"/>
    <w:rsid w:val="00AB4AF7"/>
    <w:rsid w:val="00AB5977"/>
    <w:rsid w:val="00AC0D32"/>
    <w:rsid w:val="00AC1E1B"/>
    <w:rsid w:val="00AD0BBF"/>
    <w:rsid w:val="00AD1903"/>
    <w:rsid w:val="00AD3350"/>
    <w:rsid w:val="00AD4F7F"/>
    <w:rsid w:val="00AD5BFA"/>
    <w:rsid w:val="00AD5D48"/>
    <w:rsid w:val="00AE0F7C"/>
    <w:rsid w:val="00AE25A0"/>
    <w:rsid w:val="00AE7248"/>
    <w:rsid w:val="00AF0D7B"/>
    <w:rsid w:val="00AF7149"/>
    <w:rsid w:val="00AF7790"/>
    <w:rsid w:val="00AF79A4"/>
    <w:rsid w:val="00B03A0A"/>
    <w:rsid w:val="00B0596A"/>
    <w:rsid w:val="00B10132"/>
    <w:rsid w:val="00B105AE"/>
    <w:rsid w:val="00B153ED"/>
    <w:rsid w:val="00B1641E"/>
    <w:rsid w:val="00B167A1"/>
    <w:rsid w:val="00B17CCA"/>
    <w:rsid w:val="00B21674"/>
    <w:rsid w:val="00B217AD"/>
    <w:rsid w:val="00B23B8F"/>
    <w:rsid w:val="00B26AAC"/>
    <w:rsid w:val="00B32763"/>
    <w:rsid w:val="00B34E48"/>
    <w:rsid w:val="00B416AF"/>
    <w:rsid w:val="00B45620"/>
    <w:rsid w:val="00B469B7"/>
    <w:rsid w:val="00B50215"/>
    <w:rsid w:val="00B54143"/>
    <w:rsid w:val="00B57376"/>
    <w:rsid w:val="00B62762"/>
    <w:rsid w:val="00B62C5A"/>
    <w:rsid w:val="00B67E87"/>
    <w:rsid w:val="00B73B7B"/>
    <w:rsid w:val="00B763D2"/>
    <w:rsid w:val="00B87E09"/>
    <w:rsid w:val="00B94818"/>
    <w:rsid w:val="00B96C8E"/>
    <w:rsid w:val="00BA66D6"/>
    <w:rsid w:val="00BC1A08"/>
    <w:rsid w:val="00BC796E"/>
    <w:rsid w:val="00BE0BCC"/>
    <w:rsid w:val="00BE1E57"/>
    <w:rsid w:val="00BE67FC"/>
    <w:rsid w:val="00BF285B"/>
    <w:rsid w:val="00BF3885"/>
    <w:rsid w:val="00BF3D0A"/>
    <w:rsid w:val="00BF5D9E"/>
    <w:rsid w:val="00C01DF3"/>
    <w:rsid w:val="00C05DCB"/>
    <w:rsid w:val="00C10ECE"/>
    <w:rsid w:val="00C13CE4"/>
    <w:rsid w:val="00C15D60"/>
    <w:rsid w:val="00C17370"/>
    <w:rsid w:val="00C176E2"/>
    <w:rsid w:val="00C261D3"/>
    <w:rsid w:val="00C26884"/>
    <w:rsid w:val="00C309DA"/>
    <w:rsid w:val="00C31D82"/>
    <w:rsid w:val="00C32691"/>
    <w:rsid w:val="00C32C8D"/>
    <w:rsid w:val="00C37509"/>
    <w:rsid w:val="00C42C69"/>
    <w:rsid w:val="00C431A5"/>
    <w:rsid w:val="00C47967"/>
    <w:rsid w:val="00C50131"/>
    <w:rsid w:val="00C546AA"/>
    <w:rsid w:val="00C617D5"/>
    <w:rsid w:val="00C61DEB"/>
    <w:rsid w:val="00C65AF3"/>
    <w:rsid w:val="00C66D88"/>
    <w:rsid w:val="00C705E7"/>
    <w:rsid w:val="00C731BD"/>
    <w:rsid w:val="00C83136"/>
    <w:rsid w:val="00C84014"/>
    <w:rsid w:val="00C85272"/>
    <w:rsid w:val="00C86D0E"/>
    <w:rsid w:val="00C90442"/>
    <w:rsid w:val="00C90B86"/>
    <w:rsid w:val="00C92B21"/>
    <w:rsid w:val="00C94730"/>
    <w:rsid w:val="00CA22FD"/>
    <w:rsid w:val="00CA6D9A"/>
    <w:rsid w:val="00CB06F8"/>
    <w:rsid w:val="00CB1295"/>
    <w:rsid w:val="00CB7306"/>
    <w:rsid w:val="00CC5963"/>
    <w:rsid w:val="00CC712A"/>
    <w:rsid w:val="00CD3904"/>
    <w:rsid w:val="00CD3F42"/>
    <w:rsid w:val="00CD4210"/>
    <w:rsid w:val="00CE4CCB"/>
    <w:rsid w:val="00CF0E69"/>
    <w:rsid w:val="00CF34C5"/>
    <w:rsid w:val="00CF7438"/>
    <w:rsid w:val="00D0320B"/>
    <w:rsid w:val="00D06964"/>
    <w:rsid w:val="00D06DBA"/>
    <w:rsid w:val="00D14E1C"/>
    <w:rsid w:val="00D1659B"/>
    <w:rsid w:val="00D17714"/>
    <w:rsid w:val="00D178A4"/>
    <w:rsid w:val="00D2021E"/>
    <w:rsid w:val="00D24E3B"/>
    <w:rsid w:val="00D25FA9"/>
    <w:rsid w:val="00D26E3F"/>
    <w:rsid w:val="00D27EB2"/>
    <w:rsid w:val="00D34BE4"/>
    <w:rsid w:val="00D35A60"/>
    <w:rsid w:val="00D3775F"/>
    <w:rsid w:val="00D41512"/>
    <w:rsid w:val="00D468C3"/>
    <w:rsid w:val="00D60CB4"/>
    <w:rsid w:val="00D614C3"/>
    <w:rsid w:val="00D62708"/>
    <w:rsid w:val="00D633DD"/>
    <w:rsid w:val="00D63553"/>
    <w:rsid w:val="00D67FCA"/>
    <w:rsid w:val="00D7061C"/>
    <w:rsid w:val="00D74907"/>
    <w:rsid w:val="00D91D6D"/>
    <w:rsid w:val="00D948D9"/>
    <w:rsid w:val="00DA2CD0"/>
    <w:rsid w:val="00DA3073"/>
    <w:rsid w:val="00DB0B76"/>
    <w:rsid w:val="00DB3C25"/>
    <w:rsid w:val="00DB4153"/>
    <w:rsid w:val="00DB4900"/>
    <w:rsid w:val="00DC280B"/>
    <w:rsid w:val="00DC6C88"/>
    <w:rsid w:val="00DC6DC0"/>
    <w:rsid w:val="00DD133B"/>
    <w:rsid w:val="00DD3620"/>
    <w:rsid w:val="00DD5ECC"/>
    <w:rsid w:val="00DE3A0C"/>
    <w:rsid w:val="00DE7858"/>
    <w:rsid w:val="00DE7B9B"/>
    <w:rsid w:val="00DF42DD"/>
    <w:rsid w:val="00DF4318"/>
    <w:rsid w:val="00DF5FF3"/>
    <w:rsid w:val="00E0013C"/>
    <w:rsid w:val="00E036DB"/>
    <w:rsid w:val="00E043A6"/>
    <w:rsid w:val="00E110A9"/>
    <w:rsid w:val="00E13362"/>
    <w:rsid w:val="00E1589F"/>
    <w:rsid w:val="00E169B6"/>
    <w:rsid w:val="00E16B97"/>
    <w:rsid w:val="00E177BE"/>
    <w:rsid w:val="00E23B8A"/>
    <w:rsid w:val="00E24679"/>
    <w:rsid w:val="00E31DC9"/>
    <w:rsid w:val="00E40880"/>
    <w:rsid w:val="00E40E17"/>
    <w:rsid w:val="00E42EE8"/>
    <w:rsid w:val="00E43682"/>
    <w:rsid w:val="00E44C09"/>
    <w:rsid w:val="00E46071"/>
    <w:rsid w:val="00E610E5"/>
    <w:rsid w:val="00E61BCE"/>
    <w:rsid w:val="00E6272D"/>
    <w:rsid w:val="00E62E41"/>
    <w:rsid w:val="00E65FE1"/>
    <w:rsid w:val="00E70ADB"/>
    <w:rsid w:val="00E74C0F"/>
    <w:rsid w:val="00E74FE2"/>
    <w:rsid w:val="00E8155B"/>
    <w:rsid w:val="00E83F6D"/>
    <w:rsid w:val="00E84286"/>
    <w:rsid w:val="00E95B24"/>
    <w:rsid w:val="00E9708D"/>
    <w:rsid w:val="00E97182"/>
    <w:rsid w:val="00EA4138"/>
    <w:rsid w:val="00EA4838"/>
    <w:rsid w:val="00EB54FD"/>
    <w:rsid w:val="00EB7F5A"/>
    <w:rsid w:val="00EC4BE6"/>
    <w:rsid w:val="00EC4C81"/>
    <w:rsid w:val="00ED7359"/>
    <w:rsid w:val="00ED7804"/>
    <w:rsid w:val="00EE22E3"/>
    <w:rsid w:val="00EE7C9F"/>
    <w:rsid w:val="00EF1ACD"/>
    <w:rsid w:val="00F01E65"/>
    <w:rsid w:val="00F16A2B"/>
    <w:rsid w:val="00F16B3D"/>
    <w:rsid w:val="00F17330"/>
    <w:rsid w:val="00F2248C"/>
    <w:rsid w:val="00F23CB1"/>
    <w:rsid w:val="00F25AC3"/>
    <w:rsid w:val="00F27203"/>
    <w:rsid w:val="00F3468E"/>
    <w:rsid w:val="00F40FE5"/>
    <w:rsid w:val="00F41239"/>
    <w:rsid w:val="00F50E96"/>
    <w:rsid w:val="00F51100"/>
    <w:rsid w:val="00F52163"/>
    <w:rsid w:val="00F52E4B"/>
    <w:rsid w:val="00F5545F"/>
    <w:rsid w:val="00F62EF2"/>
    <w:rsid w:val="00F6334C"/>
    <w:rsid w:val="00F637E9"/>
    <w:rsid w:val="00F657BD"/>
    <w:rsid w:val="00F76789"/>
    <w:rsid w:val="00F9121F"/>
    <w:rsid w:val="00F91ADF"/>
    <w:rsid w:val="00F9468C"/>
    <w:rsid w:val="00FA7237"/>
    <w:rsid w:val="00FB4FC7"/>
    <w:rsid w:val="00FB6E11"/>
    <w:rsid w:val="00FD0164"/>
    <w:rsid w:val="00FD0179"/>
    <w:rsid w:val="00FD4D6D"/>
    <w:rsid w:val="00FE0BB4"/>
    <w:rsid w:val="00FE0F41"/>
    <w:rsid w:val="00FE1731"/>
    <w:rsid w:val="00FE22FA"/>
    <w:rsid w:val="00FE756B"/>
    <w:rsid w:val="00FF2F9C"/>
    <w:rsid w:val="00FF37D2"/>
    <w:rsid w:val="00FF634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183B1"/>
  <w15:docId w15:val="{874450DE-9D34-43B6-B2C3-92F9585F7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56EC"/>
    <w:pPr>
      <w:spacing w:after="0" w:line="240" w:lineRule="auto"/>
    </w:pPr>
    <w:rPr>
      <w:rFonts w:ascii="Times New Roman" w:hAnsi="Times New Roman"/>
      <w:sz w:val="20"/>
    </w:rPr>
  </w:style>
  <w:style w:type="paragraph" w:styleId="Heading1">
    <w:name w:val="heading 1"/>
    <w:basedOn w:val="Normal"/>
    <w:next w:val="Normal"/>
    <w:link w:val="Heading1Char"/>
    <w:uiPriority w:val="9"/>
    <w:qFormat/>
    <w:rsid w:val="004756EC"/>
    <w:pPr>
      <w:keepNext/>
      <w:keepLines/>
      <w:numPr>
        <w:numId w:val="1"/>
      </w:numP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050A47"/>
    <w:pPr>
      <w:keepNext/>
      <w:keepLines/>
      <w:numPr>
        <w:ilvl w:val="1"/>
        <w:numId w:val="1"/>
      </w:numPr>
      <w:spacing w:before="200"/>
      <w:outlineLvl w:val="1"/>
    </w:pPr>
    <w:rPr>
      <w:rFonts w:eastAsiaTheme="majorEastAsia" w:cstheme="majorBidi"/>
      <w:b/>
      <w:bCs/>
      <w:i/>
      <w:szCs w:val="26"/>
    </w:rPr>
  </w:style>
  <w:style w:type="paragraph" w:styleId="Heading3">
    <w:name w:val="heading 3"/>
    <w:basedOn w:val="Normal"/>
    <w:next w:val="Normal"/>
    <w:link w:val="Heading3Char"/>
    <w:uiPriority w:val="9"/>
    <w:unhideWhenUsed/>
    <w:qFormat/>
    <w:rsid w:val="00B23B8F"/>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23B8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23B8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3B8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23B8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3B8F"/>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B23B8F"/>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3B5FF7"/>
    <w:rPr>
      <w:szCs w:val="20"/>
    </w:rPr>
  </w:style>
  <w:style w:type="character" w:customStyle="1" w:styleId="FootnoteTextChar">
    <w:name w:val="Footnote Text Char"/>
    <w:basedOn w:val="DefaultParagraphFont"/>
    <w:link w:val="FootnoteText"/>
    <w:uiPriority w:val="99"/>
    <w:semiHidden/>
    <w:rsid w:val="003B5FF7"/>
    <w:rPr>
      <w:sz w:val="20"/>
      <w:szCs w:val="20"/>
    </w:rPr>
  </w:style>
  <w:style w:type="character" w:styleId="FootnoteReference">
    <w:name w:val="footnote reference"/>
    <w:basedOn w:val="DefaultParagraphFont"/>
    <w:uiPriority w:val="99"/>
    <w:semiHidden/>
    <w:unhideWhenUsed/>
    <w:rsid w:val="003B5FF7"/>
    <w:rPr>
      <w:vertAlign w:val="superscript"/>
    </w:rPr>
  </w:style>
  <w:style w:type="paragraph" w:styleId="EndnoteText">
    <w:name w:val="endnote text"/>
    <w:basedOn w:val="Normal"/>
    <w:link w:val="EndnoteTextChar"/>
    <w:uiPriority w:val="99"/>
    <w:semiHidden/>
    <w:unhideWhenUsed/>
    <w:rsid w:val="003B5FF7"/>
    <w:rPr>
      <w:szCs w:val="20"/>
    </w:rPr>
  </w:style>
  <w:style w:type="character" w:customStyle="1" w:styleId="EndnoteTextChar">
    <w:name w:val="Endnote Text Char"/>
    <w:basedOn w:val="DefaultParagraphFont"/>
    <w:link w:val="EndnoteText"/>
    <w:uiPriority w:val="99"/>
    <w:semiHidden/>
    <w:rsid w:val="003B5FF7"/>
    <w:rPr>
      <w:sz w:val="20"/>
      <w:szCs w:val="20"/>
    </w:rPr>
  </w:style>
  <w:style w:type="character" w:styleId="EndnoteReference">
    <w:name w:val="endnote reference"/>
    <w:basedOn w:val="DefaultParagraphFont"/>
    <w:uiPriority w:val="99"/>
    <w:semiHidden/>
    <w:unhideWhenUsed/>
    <w:rsid w:val="003B5FF7"/>
    <w:rPr>
      <w:vertAlign w:val="superscript"/>
    </w:rPr>
  </w:style>
  <w:style w:type="paragraph" w:styleId="Header">
    <w:name w:val="header"/>
    <w:basedOn w:val="Normal"/>
    <w:link w:val="HeaderChar"/>
    <w:uiPriority w:val="99"/>
    <w:unhideWhenUsed/>
    <w:rsid w:val="00532620"/>
    <w:pPr>
      <w:tabs>
        <w:tab w:val="center" w:pos="4680"/>
        <w:tab w:val="right" w:pos="9360"/>
      </w:tabs>
    </w:pPr>
  </w:style>
  <w:style w:type="character" w:customStyle="1" w:styleId="HeaderChar">
    <w:name w:val="Header Char"/>
    <w:basedOn w:val="DefaultParagraphFont"/>
    <w:link w:val="Header"/>
    <w:uiPriority w:val="99"/>
    <w:rsid w:val="00532620"/>
  </w:style>
  <w:style w:type="paragraph" w:styleId="Footer">
    <w:name w:val="footer"/>
    <w:basedOn w:val="Normal"/>
    <w:link w:val="FooterChar"/>
    <w:uiPriority w:val="99"/>
    <w:unhideWhenUsed/>
    <w:rsid w:val="00532620"/>
    <w:pPr>
      <w:tabs>
        <w:tab w:val="center" w:pos="4680"/>
        <w:tab w:val="right" w:pos="9360"/>
      </w:tabs>
    </w:pPr>
  </w:style>
  <w:style w:type="character" w:customStyle="1" w:styleId="FooterChar">
    <w:name w:val="Footer Char"/>
    <w:basedOn w:val="DefaultParagraphFont"/>
    <w:link w:val="Footer"/>
    <w:uiPriority w:val="99"/>
    <w:rsid w:val="00532620"/>
  </w:style>
  <w:style w:type="character" w:customStyle="1" w:styleId="Heading1Char">
    <w:name w:val="Heading 1 Char"/>
    <w:basedOn w:val="DefaultParagraphFont"/>
    <w:link w:val="Heading1"/>
    <w:uiPriority w:val="9"/>
    <w:rsid w:val="004756EC"/>
    <w:rPr>
      <w:rFonts w:ascii="Times New Roman" w:eastAsiaTheme="majorEastAsia" w:hAnsi="Times New Roman" w:cstheme="majorBidi"/>
      <w:b/>
      <w:bCs/>
      <w:sz w:val="20"/>
      <w:szCs w:val="28"/>
    </w:rPr>
  </w:style>
  <w:style w:type="paragraph" w:styleId="NoSpacing">
    <w:name w:val="No Spacing"/>
    <w:uiPriority w:val="1"/>
    <w:qFormat/>
    <w:rsid w:val="00050A47"/>
    <w:pPr>
      <w:spacing w:after="0" w:line="240" w:lineRule="auto"/>
    </w:pPr>
    <w:rPr>
      <w:rFonts w:ascii="Times New Roman" w:hAnsi="Times New Roman"/>
      <w:sz w:val="20"/>
    </w:rPr>
  </w:style>
  <w:style w:type="character" w:customStyle="1" w:styleId="Heading2Char">
    <w:name w:val="Heading 2 Char"/>
    <w:basedOn w:val="DefaultParagraphFont"/>
    <w:link w:val="Heading2"/>
    <w:uiPriority w:val="9"/>
    <w:rsid w:val="00050A47"/>
    <w:rPr>
      <w:rFonts w:ascii="Times New Roman" w:eastAsiaTheme="majorEastAsia" w:hAnsi="Times New Roman" w:cstheme="majorBidi"/>
      <w:b/>
      <w:bCs/>
      <w:i/>
      <w:sz w:val="20"/>
      <w:szCs w:val="26"/>
    </w:rPr>
  </w:style>
  <w:style w:type="table" w:styleId="TableGrid">
    <w:name w:val="Table Grid"/>
    <w:basedOn w:val="TableNormal"/>
    <w:uiPriority w:val="59"/>
    <w:rsid w:val="00542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2474"/>
    <w:rPr>
      <w:color w:val="0000FF" w:themeColor="hyperlink"/>
      <w:u w:val="single"/>
    </w:rPr>
  </w:style>
  <w:style w:type="character" w:styleId="PlaceholderText">
    <w:name w:val="Placeholder Text"/>
    <w:basedOn w:val="DefaultParagraphFont"/>
    <w:uiPriority w:val="99"/>
    <w:semiHidden/>
    <w:rsid w:val="007C2474"/>
    <w:rPr>
      <w:color w:val="808080"/>
    </w:rPr>
  </w:style>
  <w:style w:type="paragraph" w:styleId="BalloonText">
    <w:name w:val="Balloon Text"/>
    <w:basedOn w:val="Normal"/>
    <w:link w:val="BalloonTextChar"/>
    <w:uiPriority w:val="99"/>
    <w:semiHidden/>
    <w:unhideWhenUsed/>
    <w:rsid w:val="007C2474"/>
    <w:rPr>
      <w:rFonts w:ascii="Tahoma" w:hAnsi="Tahoma" w:cs="Tahoma"/>
      <w:sz w:val="16"/>
      <w:szCs w:val="16"/>
    </w:rPr>
  </w:style>
  <w:style w:type="character" w:customStyle="1" w:styleId="BalloonTextChar">
    <w:name w:val="Balloon Text Char"/>
    <w:basedOn w:val="DefaultParagraphFont"/>
    <w:link w:val="BalloonText"/>
    <w:uiPriority w:val="99"/>
    <w:semiHidden/>
    <w:rsid w:val="007C2474"/>
    <w:rPr>
      <w:rFonts w:ascii="Tahoma" w:hAnsi="Tahoma" w:cs="Tahoma"/>
      <w:sz w:val="16"/>
      <w:szCs w:val="16"/>
    </w:rPr>
  </w:style>
  <w:style w:type="paragraph" w:styleId="Caption">
    <w:name w:val="caption"/>
    <w:basedOn w:val="Normal"/>
    <w:next w:val="Normal"/>
    <w:uiPriority w:val="35"/>
    <w:unhideWhenUsed/>
    <w:qFormat/>
    <w:rsid w:val="00B23B8F"/>
    <w:pPr>
      <w:spacing w:after="200"/>
    </w:pPr>
    <w:rPr>
      <w:bCs/>
      <w:szCs w:val="18"/>
    </w:rPr>
  </w:style>
  <w:style w:type="paragraph" w:styleId="ListParagraph">
    <w:name w:val="List Paragraph"/>
    <w:basedOn w:val="Normal"/>
    <w:uiPriority w:val="34"/>
    <w:qFormat/>
    <w:rsid w:val="00B23B8F"/>
    <w:pPr>
      <w:ind w:left="720"/>
      <w:contextualSpacing/>
    </w:pPr>
  </w:style>
  <w:style w:type="character" w:customStyle="1" w:styleId="Heading3Char">
    <w:name w:val="Heading 3 Char"/>
    <w:basedOn w:val="DefaultParagraphFont"/>
    <w:link w:val="Heading3"/>
    <w:uiPriority w:val="9"/>
    <w:rsid w:val="00B23B8F"/>
    <w:rPr>
      <w:rFonts w:asciiTheme="majorHAnsi" w:eastAsiaTheme="majorEastAsia" w:hAnsiTheme="majorHAnsi" w:cstheme="majorBidi"/>
      <w:b/>
      <w:bCs/>
      <w:color w:val="4F81BD" w:themeColor="accent1"/>
      <w:sz w:val="20"/>
    </w:rPr>
  </w:style>
  <w:style w:type="character" w:customStyle="1" w:styleId="Heading4Char">
    <w:name w:val="Heading 4 Char"/>
    <w:basedOn w:val="DefaultParagraphFont"/>
    <w:link w:val="Heading4"/>
    <w:uiPriority w:val="9"/>
    <w:semiHidden/>
    <w:rsid w:val="00B23B8F"/>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B23B8F"/>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B23B8F"/>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B23B8F"/>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B23B8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3B8F"/>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986B74"/>
    <w:rPr>
      <w:sz w:val="16"/>
      <w:szCs w:val="16"/>
    </w:rPr>
  </w:style>
  <w:style w:type="paragraph" w:styleId="CommentText">
    <w:name w:val="annotation text"/>
    <w:basedOn w:val="Normal"/>
    <w:link w:val="CommentTextChar"/>
    <w:uiPriority w:val="99"/>
    <w:semiHidden/>
    <w:unhideWhenUsed/>
    <w:rsid w:val="00986B74"/>
    <w:rPr>
      <w:szCs w:val="20"/>
    </w:rPr>
  </w:style>
  <w:style w:type="character" w:customStyle="1" w:styleId="CommentTextChar">
    <w:name w:val="Comment Text Char"/>
    <w:basedOn w:val="DefaultParagraphFont"/>
    <w:link w:val="CommentText"/>
    <w:uiPriority w:val="99"/>
    <w:semiHidden/>
    <w:rsid w:val="00986B7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86B74"/>
    <w:rPr>
      <w:b/>
      <w:bCs/>
    </w:rPr>
  </w:style>
  <w:style w:type="character" w:customStyle="1" w:styleId="CommentSubjectChar">
    <w:name w:val="Comment Subject Char"/>
    <w:basedOn w:val="CommentTextChar"/>
    <w:link w:val="CommentSubject"/>
    <w:uiPriority w:val="99"/>
    <w:semiHidden/>
    <w:rsid w:val="00986B74"/>
    <w:rPr>
      <w:rFonts w:ascii="Times New Roman" w:hAnsi="Times New Roman"/>
      <w:b/>
      <w:bCs/>
      <w:sz w:val="20"/>
      <w:szCs w:val="20"/>
    </w:rPr>
  </w:style>
  <w:style w:type="character" w:customStyle="1" w:styleId="UnresolvedMention1">
    <w:name w:val="Unresolved Mention1"/>
    <w:basedOn w:val="DefaultParagraphFont"/>
    <w:uiPriority w:val="99"/>
    <w:semiHidden/>
    <w:unhideWhenUsed/>
    <w:rsid w:val="0055128E"/>
    <w:rPr>
      <w:color w:val="808080"/>
      <w:shd w:val="clear" w:color="auto" w:fill="E6E6E6"/>
    </w:rPr>
  </w:style>
  <w:style w:type="character" w:styleId="FollowedHyperlink">
    <w:name w:val="FollowedHyperlink"/>
    <w:basedOn w:val="DefaultParagraphFont"/>
    <w:uiPriority w:val="99"/>
    <w:semiHidden/>
    <w:unhideWhenUsed/>
    <w:rsid w:val="0055128E"/>
    <w:rPr>
      <w:color w:val="800080" w:themeColor="followedHyperlink"/>
      <w:u w:val="single"/>
    </w:rPr>
  </w:style>
  <w:style w:type="character" w:customStyle="1" w:styleId="UnresolvedMention2">
    <w:name w:val="Unresolved Mention2"/>
    <w:basedOn w:val="DefaultParagraphFont"/>
    <w:uiPriority w:val="99"/>
    <w:semiHidden/>
    <w:unhideWhenUsed/>
    <w:rsid w:val="00A523F5"/>
    <w:rPr>
      <w:color w:val="808080"/>
      <w:shd w:val="clear" w:color="auto" w:fill="E6E6E6"/>
    </w:rPr>
  </w:style>
  <w:style w:type="character" w:styleId="HTMLCode">
    <w:name w:val="HTML Code"/>
    <w:basedOn w:val="DefaultParagraphFont"/>
    <w:uiPriority w:val="99"/>
    <w:semiHidden/>
    <w:unhideWhenUsed/>
    <w:rsid w:val="00CA6D9A"/>
    <w:rPr>
      <w:rFonts w:ascii="Courier New" w:eastAsia="Times New Roman" w:hAnsi="Courier New" w:cs="Courier New"/>
      <w:sz w:val="20"/>
      <w:szCs w:val="20"/>
    </w:rPr>
  </w:style>
  <w:style w:type="character" w:customStyle="1" w:styleId="kw">
    <w:name w:val="kw"/>
    <w:basedOn w:val="DefaultParagraphFont"/>
    <w:rsid w:val="00CA6D9A"/>
  </w:style>
  <w:style w:type="character" w:customStyle="1" w:styleId="dt">
    <w:name w:val="dt"/>
    <w:basedOn w:val="DefaultParagraphFont"/>
    <w:rsid w:val="00CA6D9A"/>
  </w:style>
  <w:style w:type="character" w:customStyle="1" w:styleId="ot">
    <w:name w:val="ot"/>
    <w:basedOn w:val="DefaultParagraphFont"/>
    <w:rsid w:val="00CA6D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826224">
      <w:bodyDiv w:val="1"/>
      <w:marLeft w:val="0"/>
      <w:marRight w:val="0"/>
      <w:marTop w:val="0"/>
      <w:marBottom w:val="0"/>
      <w:divBdr>
        <w:top w:val="none" w:sz="0" w:space="0" w:color="auto"/>
        <w:left w:val="none" w:sz="0" w:space="0" w:color="auto"/>
        <w:bottom w:val="none" w:sz="0" w:space="0" w:color="auto"/>
        <w:right w:val="none" w:sz="0" w:space="0" w:color="auto"/>
      </w:divBdr>
      <w:divsChild>
        <w:div w:id="1043095900">
          <w:marLeft w:val="0"/>
          <w:marRight w:val="0"/>
          <w:marTop w:val="0"/>
          <w:marBottom w:val="0"/>
          <w:divBdr>
            <w:top w:val="none" w:sz="0" w:space="0" w:color="auto"/>
            <w:left w:val="none" w:sz="0" w:space="0" w:color="auto"/>
            <w:bottom w:val="none" w:sz="0" w:space="0" w:color="auto"/>
            <w:right w:val="none" w:sz="0" w:space="0" w:color="auto"/>
          </w:divBdr>
          <w:divsChild>
            <w:div w:id="8406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3552">
      <w:bodyDiv w:val="1"/>
      <w:marLeft w:val="0"/>
      <w:marRight w:val="0"/>
      <w:marTop w:val="0"/>
      <w:marBottom w:val="0"/>
      <w:divBdr>
        <w:top w:val="none" w:sz="0" w:space="0" w:color="auto"/>
        <w:left w:val="none" w:sz="0" w:space="0" w:color="auto"/>
        <w:bottom w:val="none" w:sz="0" w:space="0" w:color="auto"/>
        <w:right w:val="none" w:sz="0" w:space="0" w:color="auto"/>
      </w:divBdr>
      <w:divsChild>
        <w:div w:id="43992192">
          <w:marLeft w:val="0"/>
          <w:marRight w:val="0"/>
          <w:marTop w:val="0"/>
          <w:marBottom w:val="0"/>
          <w:divBdr>
            <w:top w:val="none" w:sz="0" w:space="0" w:color="auto"/>
            <w:left w:val="none" w:sz="0" w:space="0" w:color="auto"/>
            <w:bottom w:val="none" w:sz="0" w:space="0" w:color="auto"/>
            <w:right w:val="none" w:sz="0" w:space="0" w:color="auto"/>
          </w:divBdr>
        </w:div>
        <w:div w:id="296763880">
          <w:marLeft w:val="0"/>
          <w:marRight w:val="0"/>
          <w:marTop w:val="0"/>
          <w:marBottom w:val="0"/>
          <w:divBdr>
            <w:top w:val="none" w:sz="0" w:space="0" w:color="auto"/>
            <w:left w:val="none" w:sz="0" w:space="0" w:color="auto"/>
            <w:bottom w:val="none" w:sz="0" w:space="0" w:color="auto"/>
            <w:right w:val="none" w:sz="0" w:space="0" w:color="auto"/>
          </w:divBdr>
        </w:div>
        <w:div w:id="478349926">
          <w:marLeft w:val="0"/>
          <w:marRight w:val="0"/>
          <w:marTop w:val="0"/>
          <w:marBottom w:val="0"/>
          <w:divBdr>
            <w:top w:val="none" w:sz="0" w:space="0" w:color="auto"/>
            <w:left w:val="none" w:sz="0" w:space="0" w:color="auto"/>
            <w:bottom w:val="none" w:sz="0" w:space="0" w:color="auto"/>
            <w:right w:val="none" w:sz="0" w:space="0" w:color="auto"/>
          </w:divBdr>
        </w:div>
        <w:div w:id="539587242">
          <w:marLeft w:val="0"/>
          <w:marRight w:val="0"/>
          <w:marTop w:val="0"/>
          <w:marBottom w:val="0"/>
          <w:divBdr>
            <w:top w:val="none" w:sz="0" w:space="0" w:color="auto"/>
            <w:left w:val="none" w:sz="0" w:space="0" w:color="auto"/>
            <w:bottom w:val="none" w:sz="0" w:space="0" w:color="auto"/>
            <w:right w:val="none" w:sz="0" w:space="0" w:color="auto"/>
          </w:divBdr>
        </w:div>
        <w:div w:id="772747349">
          <w:marLeft w:val="0"/>
          <w:marRight w:val="0"/>
          <w:marTop w:val="0"/>
          <w:marBottom w:val="0"/>
          <w:divBdr>
            <w:top w:val="none" w:sz="0" w:space="0" w:color="auto"/>
            <w:left w:val="none" w:sz="0" w:space="0" w:color="auto"/>
            <w:bottom w:val="none" w:sz="0" w:space="0" w:color="auto"/>
            <w:right w:val="none" w:sz="0" w:space="0" w:color="auto"/>
          </w:divBdr>
        </w:div>
        <w:div w:id="1204172730">
          <w:marLeft w:val="0"/>
          <w:marRight w:val="0"/>
          <w:marTop w:val="0"/>
          <w:marBottom w:val="0"/>
          <w:divBdr>
            <w:top w:val="none" w:sz="0" w:space="0" w:color="auto"/>
            <w:left w:val="none" w:sz="0" w:space="0" w:color="auto"/>
            <w:bottom w:val="none" w:sz="0" w:space="0" w:color="auto"/>
            <w:right w:val="none" w:sz="0" w:space="0" w:color="auto"/>
          </w:divBdr>
        </w:div>
        <w:div w:id="1233083604">
          <w:marLeft w:val="0"/>
          <w:marRight w:val="0"/>
          <w:marTop w:val="0"/>
          <w:marBottom w:val="0"/>
          <w:divBdr>
            <w:top w:val="none" w:sz="0" w:space="0" w:color="auto"/>
            <w:left w:val="none" w:sz="0" w:space="0" w:color="auto"/>
            <w:bottom w:val="none" w:sz="0" w:space="0" w:color="auto"/>
            <w:right w:val="none" w:sz="0" w:space="0" w:color="auto"/>
          </w:divBdr>
        </w:div>
        <w:div w:id="1297905200">
          <w:marLeft w:val="0"/>
          <w:marRight w:val="0"/>
          <w:marTop w:val="0"/>
          <w:marBottom w:val="0"/>
          <w:divBdr>
            <w:top w:val="none" w:sz="0" w:space="0" w:color="auto"/>
            <w:left w:val="none" w:sz="0" w:space="0" w:color="auto"/>
            <w:bottom w:val="none" w:sz="0" w:space="0" w:color="auto"/>
            <w:right w:val="none" w:sz="0" w:space="0" w:color="auto"/>
          </w:divBdr>
        </w:div>
        <w:div w:id="1583417455">
          <w:marLeft w:val="0"/>
          <w:marRight w:val="0"/>
          <w:marTop w:val="0"/>
          <w:marBottom w:val="0"/>
          <w:divBdr>
            <w:top w:val="none" w:sz="0" w:space="0" w:color="auto"/>
            <w:left w:val="none" w:sz="0" w:space="0" w:color="auto"/>
            <w:bottom w:val="none" w:sz="0" w:space="0" w:color="auto"/>
            <w:right w:val="none" w:sz="0" w:space="0" w:color="auto"/>
          </w:divBdr>
        </w:div>
        <w:div w:id="1652129693">
          <w:marLeft w:val="0"/>
          <w:marRight w:val="0"/>
          <w:marTop w:val="0"/>
          <w:marBottom w:val="0"/>
          <w:divBdr>
            <w:top w:val="none" w:sz="0" w:space="0" w:color="auto"/>
            <w:left w:val="none" w:sz="0" w:space="0" w:color="auto"/>
            <w:bottom w:val="none" w:sz="0" w:space="0" w:color="auto"/>
            <w:right w:val="none" w:sz="0" w:space="0" w:color="auto"/>
          </w:divBdr>
        </w:div>
        <w:div w:id="1708750065">
          <w:marLeft w:val="0"/>
          <w:marRight w:val="0"/>
          <w:marTop w:val="0"/>
          <w:marBottom w:val="0"/>
          <w:divBdr>
            <w:top w:val="none" w:sz="0" w:space="0" w:color="auto"/>
            <w:left w:val="none" w:sz="0" w:space="0" w:color="auto"/>
            <w:bottom w:val="none" w:sz="0" w:space="0" w:color="auto"/>
            <w:right w:val="none" w:sz="0" w:space="0" w:color="auto"/>
          </w:divBdr>
        </w:div>
        <w:div w:id="1820338894">
          <w:marLeft w:val="0"/>
          <w:marRight w:val="0"/>
          <w:marTop w:val="0"/>
          <w:marBottom w:val="0"/>
          <w:divBdr>
            <w:top w:val="none" w:sz="0" w:space="0" w:color="auto"/>
            <w:left w:val="none" w:sz="0" w:space="0" w:color="auto"/>
            <w:bottom w:val="none" w:sz="0" w:space="0" w:color="auto"/>
            <w:right w:val="none" w:sz="0" w:space="0" w:color="auto"/>
          </w:divBdr>
        </w:div>
        <w:div w:id="1894462797">
          <w:marLeft w:val="0"/>
          <w:marRight w:val="0"/>
          <w:marTop w:val="0"/>
          <w:marBottom w:val="0"/>
          <w:divBdr>
            <w:top w:val="none" w:sz="0" w:space="0" w:color="auto"/>
            <w:left w:val="none" w:sz="0" w:space="0" w:color="auto"/>
            <w:bottom w:val="none" w:sz="0" w:space="0" w:color="auto"/>
            <w:right w:val="none" w:sz="0" w:space="0" w:color="auto"/>
          </w:divBdr>
        </w:div>
        <w:div w:id="1932856895">
          <w:marLeft w:val="0"/>
          <w:marRight w:val="0"/>
          <w:marTop w:val="0"/>
          <w:marBottom w:val="0"/>
          <w:divBdr>
            <w:top w:val="none" w:sz="0" w:space="0" w:color="auto"/>
            <w:left w:val="none" w:sz="0" w:space="0" w:color="auto"/>
            <w:bottom w:val="none" w:sz="0" w:space="0" w:color="auto"/>
            <w:right w:val="none" w:sz="0" w:space="0" w:color="auto"/>
          </w:divBdr>
        </w:div>
        <w:div w:id="2024432584">
          <w:marLeft w:val="0"/>
          <w:marRight w:val="0"/>
          <w:marTop w:val="0"/>
          <w:marBottom w:val="0"/>
          <w:divBdr>
            <w:top w:val="none" w:sz="0" w:space="0" w:color="auto"/>
            <w:left w:val="none" w:sz="0" w:space="0" w:color="auto"/>
            <w:bottom w:val="none" w:sz="0" w:space="0" w:color="auto"/>
            <w:right w:val="none" w:sz="0" w:space="0" w:color="auto"/>
          </w:divBdr>
        </w:div>
      </w:divsChild>
    </w:div>
    <w:div w:id="1317957063">
      <w:bodyDiv w:val="1"/>
      <w:marLeft w:val="0"/>
      <w:marRight w:val="0"/>
      <w:marTop w:val="0"/>
      <w:marBottom w:val="0"/>
      <w:divBdr>
        <w:top w:val="none" w:sz="0" w:space="0" w:color="auto"/>
        <w:left w:val="none" w:sz="0" w:space="0" w:color="auto"/>
        <w:bottom w:val="none" w:sz="0" w:space="0" w:color="auto"/>
        <w:right w:val="none" w:sz="0" w:space="0" w:color="auto"/>
      </w:divBdr>
    </w:div>
    <w:div w:id="1378121947">
      <w:bodyDiv w:val="1"/>
      <w:marLeft w:val="0"/>
      <w:marRight w:val="0"/>
      <w:marTop w:val="0"/>
      <w:marBottom w:val="0"/>
      <w:divBdr>
        <w:top w:val="none" w:sz="0" w:space="0" w:color="auto"/>
        <w:left w:val="none" w:sz="0" w:space="0" w:color="auto"/>
        <w:bottom w:val="none" w:sz="0" w:space="0" w:color="auto"/>
        <w:right w:val="none" w:sz="0" w:space="0" w:color="auto"/>
      </w:divBdr>
    </w:div>
    <w:div w:id="1451709105">
      <w:bodyDiv w:val="1"/>
      <w:marLeft w:val="0"/>
      <w:marRight w:val="0"/>
      <w:marTop w:val="0"/>
      <w:marBottom w:val="0"/>
      <w:divBdr>
        <w:top w:val="none" w:sz="0" w:space="0" w:color="auto"/>
        <w:left w:val="none" w:sz="0" w:space="0" w:color="auto"/>
        <w:bottom w:val="none" w:sz="0" w:space="0" w:color="auto"/>
        <w:right w:val="none" w:sz="0" w:space="0" w:color="auto"/>
      </w:divBdr>
      <w:divsChild>
        <w:div w:id="48652639">
          <w:marLeft w:val="0"/>
          <w:marRight w:val="0"/>
          <w:marTop w:val="0"/>
          <w:marBottom w:val="0"/>
          <w:divBdr>
            <w:top w:val="none" w:sz="0" w:space="0" w:color="auto"/>
            <w:left w:val="none" w:sz="0" w:space="0" w:color="auto"/>
            <w:bottom w:val="none" w:sz="0" w:space="0" w:color="auto"/>
            <w:right w:val="none" w:sz="0" w:space="0" w:color="auto"/>
          </w:divBdr>
        </w:div>
        <w:div w:id="425660829">
          <w:marLeft w:val="0"/>
          <w:marRight w:val="0"/>
          <w:marTop w:val="0"/>
          <w:marBottom w:val="0"/>
          <w:divBdr>
            <w:top w:val="none" w:sz="0" w:space="0" w:color="auto"/>
            <w:left w:val="none" w:sz="0" w:space="0" w:color="auto"/>
            <w:bottom w:val="none" w:sz="0" w:space="0" w:color="auto"/>
            <w:right w:val="none" w:sz="0" w:space="0" w:color="auto"/>
          </w:divBdr>
        </w:div>
        <w:div w:id="488904513">
          <w:marLeft w:val="0"/>
          <w:marRight w:val="0"/>
          <w:marTop w:val="0"/>
          <w:marBottom w:val="0"/>
          <w:divBdr>
            <w:top w:val="none" w:sz="0" w:space="0" w:color="auto"/>
            <w:left w:val="none" w:sz="0" w:space="0" w:color="auto"/>
            <w:bottom w:val="none" w:sz="0" w:space="0" w:color="auto"/>
            <w:right w:val="none" w:sz="0" w:space="0" w:color="auto"/>
          </w:divBdr>
        </w:div>
        <w:div w:id="729111830">
          <w:marLeft w:val="0"/>
          <w:marRight w:val="0"/>
          <w:marTop w:val="0"/>
          <w:marBottom w:val="0"/>
          <w:divBdr>
            <w:top w:val="none" w:sz="0" w:space="0" w:color="auto"/>
            <w:left w:val="none" w:sz="0" w:space="0" w:color="auto"/>
            <w:bottom w:val="none" w:sz="0" w:space="0" w:color="auto"/>
            <w:right w:val="none" w:sz="0" w:space="0" w:color="auto"/>
          </w:divBdr>
        </w:div>
        <w:div w:id="749473952">
          <w:marLeft w:val="0"/>
          <w:marRight w:val="0"/>
          <w:marTop w:val="0"/>
          <w:marBottom w:val="0"/>
          <w:divBdr>
            <w:top w:val="none" w:sz="0" w:space="0" w:color="auto"/>
            <w:left w:val="none" w:sz="0" w:space="0" w:color="auto"/>
            <w:bottom w:val="none" w:sz="0" w:space="0" w:color="auto"/>
            <w:right w:val="none" w:sz="0" w:space="0" w:color="auto"/>
          </w:divBdr>
        </w:div>
        <w:div w:id="880441191">
          <w:marLeft w:val="0"/>
          <w:marRight w:val="0"/>
          <w:marTop w:val="0"/>
          <w:marBottom w:val="0"/>
          <w:divBdr>
            <w:top w:val="none" w:sz="0" w:space="0" w:color="auto"/>
            <w:left w:val="none" w:sz="0" w:space="0" w:color="auto"/>
            <w:bottom w:val="none" w:sz="0" w:space="0" w:color="auto"/>
            <w:right w:val="none" w:sz="0" w:space="0" w:color="auto"/>
          </w:divBdr>
        </w:div>
        <w:div w:id="956907011">
          <w:marLeft w:val="0"/>
          <w:marRight w:val="0"/>
          <w:marTop w:val="0"/>
          <w:marBottom w:val="0"/>
          <w:divBdr>
            <w:top w:val="none" w:sz="0" w:space="0" w:color="auto"/>
            <w:left w:val="none" w:sz="0" w:space="0" w:color="auto"/>
            <w:bottom w:val="none" w:sz="0" w:space="0" w:color="auto"/>
            <w:right w:val="none" w:sz="0" w:space="0" w:color="auto"/>
          </w:divBdr>
        </w:div>
        <w:div w:id="1176312948">
          <w:marLeft w:val="0"/>
          <w:marRight w:val="0"/>
          <w:marTop w:val="0"/>
          <w:marBottom w:val="0"/>
          <w:divBdr>
            <w:top w:val="none" w:sz="0" w:space="0" w:color="auto"/>
            <w:left w:val="none" w:sz="0" w:space="0" w:color="auto"/>
            <w:bottom w:val="none" w:sz="0" w:space="0" w:color="auto"/>
            <w:right w:val="none" w:sz="0" w:space="0" w:color="auto"/>
          </w:divBdr>
        </w:div>
        <w:div w:id="1184171593">
          <w:marLeft w:val="0"/>
          <w:marRight w:val="0"/>
          <w:marTop w:val="0"/>
          <w:marBottom w:val="0"/>
          <w:divBdr>
            <w:top w:val="none" w:sz="0" w:space="0" w:color="auto"/>
            <w:left w:val="none" w:sz="0" w:space="0" w:color="auto"/>
            <w:bottom w:val="none" w:sz="0" w:space="0" w:color="auto"/>
            <w:right w:val="none" w:sz="0" w:space="0" w:color="auto"/>
          </w:divBdr>
        </w:div>
      </w:divsChild>
    </w:div>
    <w:div w:id="1487629253">
      <w:bodyDiv w:val="1"/>
      <w:marLeft w:val="0"/>
      <w:marRight w:val="0"/>
      <w:marTop w:val="0"/>
      <w:marBottom w:val="0"/>
      <w:divBdr>
        <w:top w:val="none" w:sz="0" w:space="0" w:color="auto"/>
        <w:left w:val="none" w:sz="0" w:space="0" w:color="auto"/>
        <w:bottom w:val="none" w:sz="0" w:space="0" w:color="auto"/>
        <w:right w:val="none" w:sz="0" w:space="0" w:color="auto"/>
      </w:divBdr>
    </w:div>
    <w:div w:id="1593776127">
      <w:bodyDiv w:val="1"/>
      <w:marLeft w:val="0"/>
      <w:marRight w:val="0"/>
      <w:marTop w:val="0"/>
      <w:marBottom w:val="0"/>
      <w:divBdr>
        <w:top w:val="none" w:sz="0" w:space="0" w:color="auto"/>
        <w:left w:val="none" w:sz="0" w:space="0" w:color="auto"/>
        <w:bottom w:val="none" w:sz="0" w:space="0" w:color="auto"/>
        <w:right w:val="none" w:sz="0" w:space="0" w:color="auto"/>
      </w:divBdr>
    </w:div>
    <w:div w:id="205260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footnotes.xml.rels><?xml version="1.0" encoding="UTF-8" standalone="yes"?>
<Relationships xmlns="http://schemas.openxmlformats.org/package/2006/relationships"><Relationship Id="rId1" Type="http://schemas.openxmlformats.org/officeDocument/2006/relationships/hyperlink" Target="mailto:t.carruthers@oceans.ub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50E0E2-E919-411A-B4F0-7C173623A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9</Pages>
  <Words>2311</Words>
  <Characters>13179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15460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TomFast</dc:creator>
  <cp:lastModifiedBy>Thomas Carruthers</cp:lastModifiedBy>
  <cp:revision>5</cp:revision>
  <cp:lastPrinted>2016-11-29T18:11:00Z</cp:lastPrinted>
  <dcterms:created xsi:type="dcterms:W3CDTF">2018-09-14T17:22:00Z</dcterms:created>
  <dcterms:modified xsi:type="dcterms:W3CDTF">2019-01-18T03:41:00Z</dcterms:modified>
</cp:coreProperties>
</file>