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6336C" w14:textId="7D9263AF" w:rsidR="00C275B7" w:rsidRDefault="00DD1C4B" w:rsidP="00D37253">
      <w:pP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LW FINAL </w:t>
      </w:r>
      <w:r w:rsidR="00074680">
        <w:rPr>
          <w:rFonts w:ascii="Times New Roman" w:hAnsi="Times New Roman"/>
          <w:b/>
          <w:bCs/>
          <w:color w:val="000000"/>
          <w:sz w:val="24"/>
          <w:szCs w:val="24"/>
        </w:rPr>
        <w:t>CANDIDATE MANAGEMENT PROCEDURE</w:t>
      </w:r>
      <w:r w:rsidR="00C275B7">
        <w:rPr>
          <w:rFonts w:ascii="Times New Roman" w:hAnsi="Times New Roman"/>
          <w:b/>
          <w:bCs/>
          <w:color w:val="000000"/>
          <w:sz w:val="24"/>
          <w:szCs w:val="24"/>
        </w:rPr>
        <w:t>;</w:t>
      </w:r>
    </w:p>
    <w:p w14:paraId="0624F5BA" w14:textId="67A8AB70" w:rsidR="00D37253" w:rsidRPr="00A77BE5" w:rsidRDefault="00C275B7" w:rsidP="00D37253">
      <w:pPr>
        <w:autoSpaceDE w:val="0"/>
        <w:autoSpaceDN w:val="0"/>
        <w:adjustRightInd w:val="0"/>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 xml:space="preserve">  TUN</w:t>
      </w:r>
      <w:r w:rsidR="00DD1C4B">
        <w:rPr>
          <w:rFonts w:ascii="Times New Roman" w:hAnsi="Times New Roman"/>
          <w:b/>
          <w:bCs/>
          <w:color w:val="000000"/>
          <w:sz w:val="24"/>
          <w:szCs w:val="24"/>
        </w:rPr>
        <w:t>ED</w:t>
      </w:r>
      <w:r>
        <w:rPr>
          <w:rFonts w:ascii="Times New Roman" w:hAnsi="Times New Roman"/>
          <w:b/>
          <w:bCs/>
          <w:color w:val="000000"/>
          <w:sz w:val="24"/>
          <w:szCs w:val="24"/>
        </w:rPr>
        <w:t xml:space="preserve"> TO </w:t>
      </w:r>
      <w:r w:rsidR="00074680">
        <w:rPr>
          <w:rFonts w:ascii="Times New Roman" w:hAnsi="Times New Roman"/>
          <w:b/>
          <w:bCs/>
          <w:color w:val="000000"/>
          <w:sz w:val="24"/>
          <w:szCs w:val="24"/>
        </w:rPr>
        <w:t>ABT_MSE PACKAGE</w:t>
      </w:r>
      <w:r w:rsidR="00FF2687">
        <w:rPr>
          <w:rFonts w:ascii="Times New Roman" w:hAnsi="Times New Roman"/>
          <w:b/>
          <w:bCs/>
          <w:color w:val="000000"/>
          <w:sz w:val="24"/>
          <w:szCs w:val="24"/>
        </w:rPr>
        <w:t xml:space="preserve"> </w:t>
      </w:r>
      <w:r w:rsidR="005E56CC">
        <w:rPr>
          <w:rFonts w:ascii="Times New Roman" w:hAnsi="Times New Roman"/>
          <w:b/>
          <w:bCs/>
          <w:color w:val="000000"/>
          <w:sz w:val="24"/>
          <w:szCs w:val="24"/>
        </w:rPr>
        <w:t>7.</w:t>
      </w:r>
      <w:r w:rsidR="00DD1C4B">
        <w:rPr>
          <w:rFonts w:ascii="Times New Roman" w:hAnsi="Times New Roman"/>
          <w:b/>
          <w:bCs/>
          <w:color w:val="000000"/>
          <w:sz w:val="24"/>
          <w:szCs w:val="24"/>
        </w:rPr>
        <w:t>8</w:t>
      </w:r>
      <w:r w:rsidR="005E56CC">
        <w:rPr>
          <w:rFonts w:ascii="Times New Roman" w:hAnsi="Times New Roman"/>
          <w:b/>
          <w:bCs/>
          <w:color w:val="000000"/>
          <w:sz w:val="24"/>
          <w:szCs w:val="24"/>
        </w:rPr>
        <w:t>.</w:t>
      </w:r>
      <w:r w:rsidR="00DD1C4B">
        <w:rPr>
          <w:rFonts w:ascii="Times New Roman" w:hAnsi="Times New Roman"/>
          <w:b/>
          <w:bCs/>
          <w:color w:val="000000"/>
          <w:sz w:val="24"/>
          <w:szCs w:val="24"/>
        </w:rPr>
        <w:t>4</w:t>
      </w:r>
    </w:p>
    <w:p w14:paraId="52F382E3" w14:textId="77777777" w:rsidR="00D37253" w:rsidRPr="00A77BE5" w:rsidRDefault="00D37253" w:rsidP="00D37253">
      <w:pPr>
        <w:autoSpaceDE w:val="0"/>
        <w:autoSpaceDN w:val="0"/>
        <w:adjustRightInd w:val="0"/>
        <w:spacing w:after="0" w:line="240" w:lineRule="auto"/>
        <w:jc w:val="center"/>
        <w:rPr>
          <w:rFonts w:ascii="Times New Roman" w:hAnsi="Times New Roman"/>
          <w:color w:val="000000"/>
          <w:sz w:val="20"/>
          <w:szCs w:val="20"/>
        </w:rPr>
      </w:pPr>
    </w:p>
    <w:p w14:paraId="62F11FA5" w14:textId="2C79BBFD" w:rsidR="00D37253" w:rsidRDefault="00B3689A" w:rsidP="007606DA">
      <w:pPr>
        <w:autoSpaceDE w:val="0"/>
        <w:autoSpaceDN w:val="0"/>
        <w:adjustRightInd w:val="0"/>
        <w:spacing w:after="0" w:line="240" w:lineRule="auto"/>
        <w:jc w:val="center"/>
        <w:rPr>
          <w:rFonts w:ascii="Times New Roman" w:hAnsi="Times New Roman"/>
          <w:sz w:val="20"/>
          <w:szCs w:val="20"/>
        </w:rPr>
      </w:pPr>
      <w:r>
        <w:rPr>
          <w:rFonts w:ascii="Times New Roman" w:hAnsi="Times New Roman"/>
          <w:sz w:val="20"/>
          <w:szCs w:val="20"/>
        </w:rPr>
        <w:t>Matthew Lauretta</w:t>
      </w:r>
      <w:r w:rsidR="00DD1C4B">
        <w:rPr>
          <w:rStyle w:val="FootnoteReference"/>
          <w:rFonts w:ascii="Times New Roman" w:hAnsi="Times New Roman"/>
          <w:sz w:val="20"/>
          <w:szCs w:val="20"/>
        </w:rPr>
        <w:footnoteReference w:id="1"/>
      </w:r>
      <w:r>
        <w:rPr>
          <w:rFonts w:ascii="Times New Roman" w:hAnsi="Times New Roman"/>
          <w:sz w:val="20"/>
          <w:szCs w:val="20"/>
        </w:rPr>
        <w:t xml:space="preserve">, </w:t>
      </w:r>
      <w:r w:rsidR="00DD1C4B">
        <w:rPr>
          <w:rFonts w:ascii="Times New Roman" w:hAnsi="Times New Roman"/>
          <w:sz w:val="20"/>
          <w:szCs w:val="20"/>
        </w:rPr>
        <w:t xml:space="preserve">Cassidy Peterson, </w:t>
      </w:r>
      <w:r w:rsidR="00074680">
        <w:rPr>
          <w:rFonts w:ascii="Times New Roman" w:hAnsi="Times New Roman"/>
          <w:sz w:val="20"/>
          <w:szCs w:val="20"/>
        </w:rPr>
        <w:t xml:space="preserve">and </w:t>
      </w:r>
      <w:r w:rsidR="007606DA">
        <w:rPr>
          <w:rFonts w:ascii="Times New Roman" w:hAnsi="Times New Roman"/>
          <w:sz w:val="20"/>
          <w:szCs w:val="20"/>
        </w:rPr>
        <w:t>John F. Walter</w:t>
      </w:r>
    </w:p>
    <w:p w14:paraId="5757ED55" w14:textId="77777777" w:rsidR="00AD3DF0" w:rsidRPr="00A77BE5" w:rsidRDefault="00AD3DF0" w:rsidP="00D37253">
      <w:pPr>
        <w:autoSpaceDE w:val="0"/>
        <w:autoSpaceDN w:val="0"/>
        <w:adjustRightInd w:val="0"/>
        <w:spacing w:after="0" w:line="240" w:lineRule="auto"/>
        <w:jc w:val="center"/>
        <w:rPr>
          <w:rFonts w:ascii="Times New Roman" w:hAnsi="Times New Roman"/>
          <w:color w:val="000000"/>
          <w:sz w:val="20"/>
          <w:szCs w:val="20"/>
        </w:rPr>
      </w:pPr>
    </w:p>
    <w:p w14:paraId="6338C166" w14:textId="77777777" w:rsidR="00D37253" w:rsidRPr="00A77BE5" w:rsidRDefault="00D37253" w:rsidP="00D37253">
      <w:pPr>
        <w:autoSpaceDE w:val="0"/>
        <w:autoSpaceDN w:val="0"/>
        <w:adjustRightInd w:val="0"/>
        <w:spacing w:after="0" w:line="240" w:lineRule="auto"/>
        <w:jc w:val="center"/>
        <w:rPr>
          <w:rFonts w:ascii="Times New Roman" w:hAnsi="Times New Roman"/>
          <w:i/>
          <w:iCs/>
          <w:color w:val="000000"/>
          <w:sz w:val="20"/>
          <w:szCs w:val="20"/>
        </w:rPr>
      </w:pPr>
      <w:r w:rsidRPr="00A77BE5">
        <w:rPr>
          <w:rFonts w:ascii="Times New Roman" w:hAnsi="Times New Roman"/>
          <w:i/>
          <w:iCs/>
          <w:color w:val="000000"/>
          <w:sz w:val="20"/>
          <w:szCs w:val="20"/>
        </w:rPr>
        <w:t>SUMMARY</w:t>
      </w:r>
    </w:p>
    <w:p w14:paraId="136058FF" w14:textId="77777777" w:rsidR="00D37253" w:rsidRPr="00A77BE5" w:rsidRDefault="00D37253" w:rsidP="00D37253">
      <w:pPr>
        <w:autoSpaceDE w:val="0"/>
        <w:autoSpaceDN w:val="0"/>
        <w:adjustRightInd w:val="0"/>
        <w:spacing w:after="0" w:line="240" w:lineRule="auto"/>
        <w:jc w:val="center"/>
        <w:rPr>
          <w:rFonts w:ascii="Times New Roman" w:hAnsi="Times New Roman"/>
          <w:i/>
          <w:iCs/>
          <w:color w:val="000000"/>
          <w:sz w:val="20"/>
          <w:szCs w:val="20"/>
        </w:rPr>
      </w:pPr>
    </w:p>
    <w:p w14:paraId="1F955700" w14:textId="4FC87A21" w:rsidR="00D37253" w:rsidRDefault="00DD1C4B" w:rsidP="0040585F">
      <w:pPr>
        <w:spacing w:after="0" w:line="240" w:lineRule="auto"/>
        <w:ind w:left="680" w:right="680"/>
        <w:jc w:val="both"/>
        <w:rPr>
          <w:rFonts w:ascii="Times New Roman" w:hAnsi="Times New Roman"/>
          <w:i/>
          <w:iCs/>
          <w:color w:val="000000"/>
          <w:sz w:val="20"/>
          <w:szCs w:val="20"/>
        </w:rPr>
      </w:pPr>
      <w:r>
        <w:rPr>
          <w:rFonts w:ascii="Times New Roman" w:eastAsia="Times New Roman" w:hAnsi="Times New Roman"/>
          <w:i/>
          <w:iCs/>
          <w:color w:val="000000"/>
          <w:sz w:val="20"/>
          <w:szCs w:val="20"/>
        </w:rPr>
        <w:t>The LW CMP showed better performance over the PW CMP, primarily in terms of higher yields while also meeting safety targets for the stocks, and therefore is selected as the single final procedure supported by the a</w:t>
      </w:r>
      <w:r w:rsidR="001141B4">
        <w:rPr>
          <w:rFonts w:ascii="Times New Roman" w:eastAsia="Times New Roman" w:hAnsi="Times New Roman"/>
          <w:i/>
          <w:iCs/>
          <w:color w:val="000000"/>
          <w:sz w:val="20"/>
          <w:szCs w:val="20"/>
        </w:rPr>
        <w:t>nalyst</w:t>
      </w:r>
      <w:r>
        <w:rPr>
          <w:rFonts w:ascii="Times New Roman" w:eastAsia="Times New Roman" w:hAnsi="Times New Roman"/>
          <w:i/>
          <w:iCs/>
          <w:color w:val="000000"/>
          <w:sz w:val="20"/>
          <w:szCs w:val="20"/>
        </w:rPr>
        <w:t xml:space="preserve">s.  This report provides documentation of the final LW procedure for the East and West areas.  The procedure was tuned </w:t>
      </w:r>
      <w:r w:rsidR="009E10AF">
        <w:rPr>
          <w:rFonts w:ascii="Times New Roman" w:eastAsia="Times New Roman" w:hAnsi="Times New Roman"/>
          <w:i/>
          <w:iCs/>
          <w:color w:val="000000"/>
          <w:sz w:val="20"/>
          <w:szCs w:val="20"/>
        </w:rPr>
        <w:t xml:space="preserve">(ABT_MSE v7.8.4) </w:t>
      </w:r>
      <w:r>
        <w:rPr>
          <w:rFonts w:ascii="Times New Roman" w:eastAsia="Times New Roman" w:hAnsi="Times New Roman"/>
          <w:i/>
          <w:iCs/>
          <w:color w:val="000000"/>
          <w:sz w:val="20"/>
          <w:szCs w:val="20"/>
        </w:rPr>
        <w:t xml:space="preserve">to the 60% and 70% probability of green Kobe status (PGK) for 2- and 3-year management cycles, with a maximum TAC increase of 20% and decrease of 30% between cycles.  A phase-in period included </w:t>
      </w:r>
      <w:r w:rsidR="0040585F">
        <w:rPr>
          <w:rFonts w:ascii="Times New Roman" w:eastAsia="Times New Roman" w:hAnsi="Times New Roman"/>
          <w:i/>
          <w:iCs/>
          <w:color w:val="000000"/>
          <w:sz w:val="20"/>
          <w:szCs w:val="20"/>
        </w:rPr>
        <w:t>two</w:t>
      </w:r>
      <w:r>
        <w:rPr>
          <w:rFonts w:ascii="Times New Roman" w:eastAsia="Times New Roman" w:hAnsi="Times New Roman"/>
          <w:i/>
          <w:iCs/>
          <w:color w:val="000000"/>
          <w:sz w:val="20"/>
          <w:szCs w:val="20"/>
        </w:rPr>
        <w:t xml:space="preserve"> management cycles </w:t>
      </w:r>
      <w:r w:rsidR="001141B4">
        <w:rPr>
          <w:rFonts w:ascii="Times New Roman" w:eastAsia="Times New Roman" w:hAnsi="Times New Roman"/>
          <w:i/>
          <w:iCs/>
          <w:color w:val="000000"/>
          <w:sz w:val="20"/>
          <w:szCs w:val="20"/>
        </w:rPr>
        <w:t xml:space="preserve">under a </w:t>
      </w:r>
      <w:r>
        <w:rPr>
          <w:rFonts w:ascii="Times New Roman" w:eastAsia="Times New Roman" w:hAnsi="Times New Roman"/>
          <w:i/>
          <w:iCs/>
          <w:color w:val="000000"/>
          <w:sz w:val="20"/>
          <w:szCs w:val="20"/>
        </w:rPr>
        <w:t>2-yr cycle</w:t>
      </w:r>
      <w:r w:rsidR="001141B4">
        <w:rPr>
          <w:rFonts w:ascii="Times New Roman" w:eastAsia="Times New Roman" w:hAnsi="Times New Roman"/>
          <w:i/>
          <w:iCs/>
          <w:color w:val="000000"/>
          <w:sz w:val="20"/>
          <w:szCs w:val="20"/>
        </w:rPr>
        <w:t>,</w:t>
      </w:r>
      <w:r>
        <w:rPr>
          <w:rFonts w:ascii="Times New Roman" w:eastAsia="Times New Roman" w:hAnsi="Times New Roman"/>
          <w:i/>
          <w:iCs/>
          <w:color w:val="000000"/>
          <w:sz w:val="20"/>
          <w:szCs w:val="20"/>
        </w:rPr>
        <w:t xml:space="preserve"> or </w:t>
      </w:r>
      <w:r w:rsidR="0040585F">
        <w:rPr>
          <w:rFonts w:ascii="Times New Roman" w:eastAsia="Times New Roman" w:hAnsi="Times New Roman"/>
          <w:i/>
          <w:iCs/>
          <w:color w:val="000000"/>
          <w:sz w:val="20"/>
          <w:szCs w:val="20"/>
        </w:rPr>
        <w:t>one</w:t>
      </w:r>
      <w:r>
        <w:rPr>
          <w:rFonts w:ascii="Times New Roman" w:eastAsia="Times New Roman" w:hAnsi="Times New Roman"/>
          <w:i/>
          <w:iCs/>
          <w:color w:val="000000"/>
          <w:sz w:val="20"/>
          <w:szCs w:val="20"/>
        </w:rPr>
        <w:t xml:space="preserve"> management cycle </w:t>
      </w:r>
      <w:r w:rsidR="0040585F">
        <w:rPr>
          <w:rFonts w:ascii="Times New Roman" w:eastAsia="Times New Roman" w:hAnsi="Times New Roman"/>
          <w:i/>
          <w:iCs/>
          <w:color w:val="000000"/>
          <w:sz w:val="20"/>
          <w:szCs w:val="20"/>
        </w:rPr>
        <w:t xml:space="preserve">for </w:t>
      </w:r>
      <w:r>
        <w:rPr>
          <w:rFonts w:ascii="Times New Roman" w:eastAsia="Times New Roman" w:hAnsi="Times New Roman"/>
          <w:i/>
          <w:iCs/>
          <w:color w:val="000000"/>
          <w:sz w:val="20"/>
          <w:szCs w:val="20"/>
        </w:rPr>
        <w:t>3-yr cycle</w:t>
      </w:r>
      <w:r w:rsidR="0040585F">
        <w:rPr>
          <w:rFonts w:ascii="Times New Roman" w:eastAsia="Times New Roman" w:hAnsi="Times New Roman"/>
          <w:i/>
          <w:iCs/>
          <w:color w:val="000000"/>
          <w:sz w:val="20"/>
          <w:szCs w:val="20"/>
        </w:rPr>
        <w:t>,</w:t>
      </w:r>
      <w:r>
        <w:rPr>
          <w:rFonts w:ascii="Times New Roman" w:eastAsia="Times New Roman" w:hAnsi="Times New Roman"/>
          <w:i/>
          <w:iCs/>
          <w:color w:val="000000"/>
          <w:sz w:val="20"/>
          <w:szCs w:val="20"/>
        </w:rPr>
        <w:t xml:space="preserve"> w</w:t>
      </w:r>
      <w:r w:rsidR="001141B4">
        <w:rPr>
          <w:rFonts w:ascii="Times New Roman" w:eastAsia="Times New Roman" w:hAnsi="Times New Roman"/>
          <w:i/>
          <w:iCs/>
          <w:color w:val="000000"/>
          <w:sz w:val="20"/>
          <w:szCs w:val="20"/>
        </w:rPr>
        <w:t>h</w:t>
      </w:r>
      <w:r>
        <w:rPr>
          <w:rFonts w:ascii="Times New Roman" w:eastAsia="Times New Roman" w:hAnsi="Times New Roman"/>
          <w:i/>
          <w:iCs/>
          <w:color w:val="000000"/>
          <w:sz w:val="20"/>
          <w:szCs w:val="20"/>
        </w:rPr>
        <w:t xml:space="preserve">ere </w:t>
      </w:r>
      <w:r w:rsidR="009E10AF">
        <w:rPr>
          <w:rFonts w:ascii="Times New Roman" w:eastAsia="Times New Roman" w:hAnsi="Times New Roman"/>
          <w:i/>
          <w:iCs/>
          <w:color w:val="000000"/>
          <w:sz w:val="20"/>
          <w:szCs w:val="20"/>
        </w:rPr>
        <w:t>a</w:t>
      </w:r>
      <w:r>
        <w:rPr>
          <w:rFonts w:ascii="Times New Roman" w:eastAsia="Times New Roman" w:hAnsi="Times New Roman"/>
          <w:i/>
          <w:iCs/>
          <w:color w:val="000000"/>
          <w:sz w:val="20"/>
          <w:szCs w:val="20"/>
        </w:rPr>
        <w:t xml:space="preserve"> maximum TAC </w:t>
      </w:r>
      <w:proofErr w:type="gramStart"/>
      <w:r>
        <w:rPr>
          <w:rFonts w:ascii="Times New Roman" w:eastAsia="Times New Roman" w:hAnsi="Times New Roman"/>
          <w:i/>
          <w:iCs/>
          <w:color w:val="000000"/>
          <w:sz w:val="20"/>
          <w:szCs w:val="20"/>
        </w:rPr>
        <w:t>decrease</w:t>
      </w:r>
      <w:proofErr w:type="gramEnd"/>
      <w:r>
        <w:rPr>
          <w:rFonts w:ascii="Times New Roman" w:eastAsia="Times New Roman" w:hAnsi="Times New Roman"/>
          <w:i/>
          <w:iCs/>
          <w:color w:val="000000"/>
          <w:sz w:val="20"/>
          <w:szCs w:val="20"/>
        </w:rPr>
        <w:t xml:space="preserve"> of 10% was applied</w:t>
      </w:r>
      <w:r w:rsidR="009E10AF">
        <w:rPr>
          <w:rFonts w:ascii="Times New Roman" w:eastAsia="Times New Roman" w:hAnsi="Times New Roman"/>
          <w:i/>
          <w:iCs/>
          <w:color w:val="000000"/>
          <w:sz w:val="20"/>
          <w:szCs w:val="20"/>
        </w:rPr>
        <w:t>, thereafter returning to 30% maximum base assumption</w:t>
      </w:r>
      <w:r>
        <w:rPr>
          <w:rFonts w:ascii="Times New Roman" w:eastAsia="Times New Roman" w:hAnsi="Times New Roman"/>
          <w:i/>
          <w:iCs/>
          <w:color w:val="000000"/>
          <w:sz w:val="20"/>
          <w:szCs w:val="20"/>
        </w:rPr>
        <w:t xml:space="preserve">.  </w:t>
      </w:r>
      <w:r w:rsidR="009E10AF">
        <w:rPr>
          <w:rFonts w:ascii="Times New Roman" w:eastAsia="Times New Roman" w:hAnsi="Times New Roman"/>
          <w:i/>
          <w:iCs/>
          <w:color w:val="000000"/>
          <w:sz w:val="20"/>
          <w:szCs w:val="20"/>
        </w:rPr>
        <w:t xml:space="preserve"> The results are included in the final summaries available online</w:t>
      </w:r>
      <w:r w:rsidR="0040585F">
        <w:rPr>
          <w:rFonts w:ascii="Times New Roman" w:eastAsia="Times New Roman" w:hAnsi="Times New Roman"/>
          <w:i/>
          <w:iCs/>
          <w:color w:val="000000"/>
          <w:sz w:val="20"/>
          <w:szCs w:val="20"/>
        </w:rPr>
        <w:t xml:space="preserve"> with the </w:t>
      </w:r>
      <w:r w:rsidR="001B3D9F">
        <w:rPr>
          <w:rFonts w:ascii="Times New Roman" w:eastAsia="Times New Roman" w:hAnsi="Times New Roman"/>
          <w:i/>
          <w:iCs/>
          <w:color w:val="000000"/>
          <w:sz w:val="20"/>
          <w:szCs w:val="20"/>
        </w:rPr>
        <w:t>link</w:t>
      </w:r>
      <w:r w:rsidR="000E53F3">
        <w:rPr>
          <w:rFonts w:ascii="Times New Roman" w:eastAsia="Times New Roman" w:hAnsi="Times New Roman"/>
          <w:i/>
          <w:iCs/>
          <w:color w:val="000000"/>
          <w:sz w:val="20"/>
          <w:szCs w:val="20"/>
        </w:rPr>
        <w:t>s</w:t>
      </w:r>
      <w:r w:rsidR="001B3D9F">
        <w:rPr>
          <w:rFonts w:ascii="Times New Roman" w:eastAsia="Times New Roman" w:hAnsi="Times New Roman"/>
          <w:i/>
          <w:iCs/>
          <w:color w:val="000000"/>
          <w:sz w:val="20"/>
          <w:szCs w:val="20"/>
        </w:rPr>
        <w:t xml:space="preserve"> provided within the report results</w:t>
      </w:r>
      <w:r w:rsidR="001141B4">
        <w:rPr>
          <w:rFonts w:ascii="Times New Roman" w:eastAsia="Times New Roman" w:hAnsi="Times New Roman"/>
          <w:i/>
          <w:iCs/>
          <w:color w:val="000000"/>
          <w:sz w:val="20"/>
          <w:szCs w:val="20"/>
        </w:rPr>
        <w:t xml:space="preserve"> section</w:t>
      </w:r>
      <w:r w:rsidR="001B3D9F">
        <w:rPr>
          <w:rFonts w:ascii="Times New Roman" w:eastAsia="Times New Roman" w:hAnsi="Times New Roman"/>
          <w:i/>
          <w:iCs/>
          <w:color w:val="000000"/>
          <w:sz w:val="20"/>
          <w:szCs w:val="20"/>
        </w:rPr>
        <w:t>.</w:t>
      </w:r>
      <w:r w:rsidR="0040585F">
        <w:rPr>
          <w:rFonts w:ascii="Times New Roman" w:hAnsi="Times New Roman"/>
          <w:i/>
          <w:iCs/>
          <w:color w:val="000000"/>
          <w:sz w:val="20"/>
          <w:szCs w:val="20"/>
        </w:rPr>
        <w:t xml:space="preserve"> </w:t>
      </w:r>
    </w:p>
    <w:p w14:paraId="3F377045" w14:textId="77777777" w:rsidR="00D24993" w:rsidRPr="00A77BE5" w:rsidRDefault="00D24993" w:rsidP="00D37253">
      <w:pPr>
        <w:autoSpaceDE w:val="0"/>
        <w:autoSpaceDN w:val="0"/>
        <w:adjustRightInd w:val="0"/>
        <w:spacing w:after="0" w:line="240" w:lineRule="auto"/>
        <w:ind w:left="680" w:right="680"/>
        <w:jc w:val="both"/>
        <w:rPr>
          <w:rFonts w:ascii="Times New Roman" w:hAnsi="Times New Roman"/>
          <w:i/>
          <w:iCs/>
          <w:color w:val="000000"/>
          <w:sz w:val="20"/>
          <w:szCs w:val="20"/>
        </w:rPr>
      </w:pPr>
    </w:p>
    <w:p w14:paraId="4CDAD5AA" w14:textId="77777777" w:rsidR="004F1B0F" w:rsidRPr="003D1686" w:rsidRDefault="004F1B0F" w:rsidP="004F1B0F">
      <w:pPr>
        <w:jc w:val="center"/>
        <w:rPr>
          <w:rFonts w:ascii="Times New Roman" w:hAnsi="Times New Roman"/>
          <w:i/>
          <w:iCs/>
          <w:color w:val="000000"/>
          <w:sz w:val="20"/>
          <w:szCs w:val="20"/>
        </w:rPr>
      </w:pPr>
      <w:r w:rsidRPr="003D1686">
        <w:rPr>
          <w:rFonts w:ascii="Times New Roman" w:hAnsi="Times New Roman"/>
          <w:i/>
          <w:iCs/>
          <w:color w:val="000000"/>
          <w:sz w:val="20"/>
          <w:szCs w:val="20"/>
        </w:rPr>
        <w:t>RÉSUMÉ</w:t>
      </w:r>
    </w:p>
    <w:p w14:paraId="0243C95B" w14:textId="77777777" w:rsidR="004F1B0F" w:rsidRPr="003D1686" w:rsidRDefault="004F1B0F" w:rsidP="004F1B0F">
      <w:pPr>
        <w:jc w:val="center"/>
        <w:rPr>
          <w:rFonts w:ascii="Times New Roman" w:hAnsi="Times New Roman"/>
          <w:i/>
          <w:iCs/>
          <w:color w:val="000000"/>
          <w:sz w:val="20"/>
          <w:szCs w:val="20"/>
        </w:rPr>
      </w:pPr>
    </w:p>
    <w:p w14:paraId="7D905F6D" w14:textId="77777777" w:rsidR="004F1B0F" w:rsidRPr="003D1686" w:rsidRDefault="004F1B0F" w:rsidP="004F1B0F">
      <w:pPr>
        <w:jc w:val="center"/>
        <w:rPr>
          <w:rFonts w:ascii="Times New Roman" w:hAnsi="Times New Roman"/>
          <w:i/>
          <w:iCs/>
          <w:color w:val="000000"/>
          <w:sz w:val="20"/>
          <w:szCs w:val="20"/>
        </w:rPr>
      </w:pPr>
      <w:r w:rsidRPr="003D1686">
        <w:rPr>
          <w:rFonts w:ascii="Times New Roman" w:hAnsi="Times New Roman"/>
          <w:i/>
          <w:iCs/>
          <w:color w:val="000000"/>
          <w:sz w:val="20"/>
          <w:szCs w:val="20"/>
        </w:rPr>
        <w:t>RESUMEN</w:t>
      </w:r>
    </w:p>
    <w:p w14:paraId="26A9E1B8" w14:textId="77777777" w:rsidR="004F1B0F" w:rsidRPr="003D1686" w:rsidRDefault="004F1B0F" w:rsidP="004F1B0F">
      <w:pPr>
        <w:jc w:val="center"/>
        <w:rPr>
          <w:rFonts w:ascii="Times New Roman" w:hAnsi="Times New Roman"/>
          <w:i/>
          <w:iCs/>
          <w:color w:val="000000"/>
          <w:sz w:val="20"/>
          <w:szCs w:val="20"/>
        </w:rPr>
      </w:pPr>
    </w:p>
    <w:p w14:paraId="5E4529D5" w14:textId="77777777" w:rsidR="004F1B0F" w:rsidRPr="003D1686" w:rsidRDefault="004F1B0F" w:rsidP="004F1B0F">
      <w:pPr>
        <w:jc w:val="center"/>
        <w:rPr>
          <w:rFonts w:ascii="Times New Roman" w:hAnsi="Times New Roman"/>
          <w:i/>
          <w:iCs/>
          <w:color w:val="000000"/>
          <w:sz w:val="20"/>
          <w:szCs w:val="20"/>
        </w:rPr>
      </w:pPr>
      <w:r w:rsidRPr="003D1686">
        <w:rPr>
          <w:rFonts w:ascii="Times New Roman" w:hAnsi="Times New Roman"/>
          <w:i/>
          <w:iCs/>
          <w:color w:val="000000"/>
          <w:sz w:val="20"/>
          <w:szCs w:val="20"/>
        </w:rPr>
        <w:t>KEYWORDS</w:t>
      </w:r>
    </w:p>
    <w:p w14:paraId="1E62AFFD" w14:textId="0E5D7EF9" w:rsidR="00D37253" w:rsidRPr="00A77BE5" w:rsidRDefault="00556F12" w:rsidP="00D37253">
      <w:pPr>
        <w:autoSpaceDE w:val="0"/>
        <w:autoSpaceDN w:val="0"/>
        <w:adjustRightInd w:val="0"/>
        <w:spacing w:after="0" w:line="240" w:lineRule="auto"/>
        <w:ind w:left="720" w:right="720"/>
        <w:jc w:val="center"/>
        <w:rPr>
          <w:rFonts w:ascii="Times New Roman" w:hAnsi="Times New Roman"/>
          <w:i/>
          <w:iCs/>
          <w:color w:val="000000"/>
          <w:sz w:val="20"/>
          <w:szCs w:val="20"/>
        </w:rPr>
      </w:pPr>
      <w:r>
        <w:rPr>
          <w:rFonts w:ascii="Times New Roman" w:hAnsi="Times New Roman"/>
          <w:i/>
          <w:iCs/>
          <w:color w:val="000000"/>
          <w:sz w:val="20"/>
          <w:szCs w:val="20"/>
        </w:rPr>
        <w:t>Atlantic bluefin tuna, Management strategy evaluation, Candidate management procedure</w:t>
      </w:r>
    </w:p>
    <w:p w14:paraId="4B064E0F" w14:textId="77777777" w:rsidR="00E31C19" w:rsidRPr="00A77BE5" w:rsidRDefault="00E31C19" w:rsidP="00E31C19">
      <w:pPr>
        <w:autoSpaceDE w:val="0"/>
        <w:autoSpaceDN w:val="0"/>
        <w:adjustRightInd w:val="0"/>
        <w:spacing w:after="0" w:line="240" w:lineRule="auto"/>
        <w:ind w:right="720"/>
        <w:rPr>
          <w:rFonts w:ascii="Times New Roman" w:hAnsi="Times New Roman"/>
          <w:i/>
          <w:iCs/>
          <w:color w:val="000000"/>
          <w:sz w:val="20"/>
          <w:szCs w:val="20"/>
        </w:rPr>
      </w:pPr>
    </w:p>
    <w:p w14:paraId="4BED646C" w14:textId="77777777" w:rsidR="00E31C19" w:rsidRPr="00A77BE5" w:rsidRDefault="00E31C19" w:rsidP="00E31C19">
      <w:pPr>
        <w:autoSpaceDE w:val="0"/>
        <w:autoSpaceDN w:val="0"/>
        <w:adjustRightInd w:val="0"/>
        <w:spacing w:after="0" w:line="240" w:lineRule="auto"/>
        <w:ind w:right="720"/>
        <w:rPr>
          <w:rFonts w:ascii="Times New Roman" w:hAnsi="Times New Roman"/>
          <w:iCs/>
          <w:color w:val="000000"/>
          <w:sz w:val="20"/>
          <w:szCs w:val="20"/>
        </w:rPr>
      </w:pPr>
    </w:p>
    <w:p w14:paraId="6D326E4E" w14:textId="77777777" w:rsidR="00140EAA" w:rsidRPr="00F17D93" w:rsidRDefault="00A77BE5" w:rsidP="00140EAA">
      <w:pPr>
        <w:autoSpaceDE w:val="0"/>
        <w:autoSpaceDN w:val="0"/>
        <w:adjustRightInd w:val="0"/>
        <w:spacing w:after="240" w:line="240" w:lineRule="auto"/>
        <w:jc w:val="both"/>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br w:type="page"/>
      </w:r>
      <w:r w:rsidR="00140EAA" w:rsidRPr="00F17D93">
        <w:rPr>
          <w:rFonts w:ascii="Times New Roman" w:eastAsia="Times New Roman" w:hAnsi="Times New Roman"/>
          <w:b/>
          <w:bCs/>
          <w:color w:val="000000"/>
          <w:sz w:val="20"/>
          <w:szCs w:val="20"/>
        </w:rPr>
        <w:lastRenderedPageBreak/>
        <w:t>1. Introduction</w:t>
      </w:r>
    </w:p>
    <w:p w14:paraId="04E783D7" w14:textId="546D9F9E" w:rsidR="004E6FAA" w:rsidRDefault="004E6FAA" w:rsidP="004E6FAA">
      <w:pPr>
        <w:autoSpaceDE w:val="0"/>
        <w:autoSpaceDN w:val="0"/>
        <w:adjustRightInd w:val="0"/>
        <w:spacing w:after="0" w:line="240" w:lineRule="auto"/>
        <w:jc w:val="both"/>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 management strategy evaluation (MSE) for Atlantic bluefin tuna has been under development by ICCAT and contracted technical experts for the last several years as part of the Atlantic-wide Research </w:t>
      </w:r>
      <w:proofErr w:type="spellStart"/>
      <w:r>
        <w:rPr>
          <w:rFonts w:ascii="Times New Roman" w:eastAsia="Times New Roman" w:hAnsi="Times New Roman"/>
          <w:color w:val="000000"/>
          <w:sz w:val="20"/>
          <w:szCs w:val="20"/>
        </w:rPr>
        <w:t>Programme</w:t>
      </w:r>
      <w:proofErr w:type="spellEnd"/>
      <w:r>
        <w:rPr>
          <w:rFonts w:ascii="Times New Roman" w:eastAsia="Times New Roman" w:hAnsi="Times New Roman"/>
          <w:color w:val="000000"/>
          <w:sz w:val="20"/>
          <w:szCs w:val="20"/>
        </w:rPr>
        <w:t xml:space="preserve"> for Bluefin Tuna.  The MSE provides a flexible simulation framework to test alternative strategies for </w:t>
      </w:r>
      <w:r w:rsidR="0011542D">
        <w:rPr>
          <w:rFonts w:ascii="Times New Roman" w:eastAsia="Times New Roman" w:hAnsi="Times New Roman"/>
          <w:color w:val="000000"/>
          <w:sz w:val="20"/>
          <w:szCs w:val="20"/>
        </w:rPr>
        <w:t>managing harvest</w:t>
      </w:r>
      <w:r>
        <w:rPr>
          <w:rFonts w:ascii="Times New Roman" w:eastAsia="Times New Roman" w:hAnsi="Times New Roman"/>
          <w:color w:val="000000"/>
          <w:sz w:val="20"/>
          <w:szCs w:val="20"/>
        </w:rPr>
        <w:t xml:space="preserve"> of Atlantic bluefin tuna in the East and West Atlantic.   One of the strengths of the MSE is the alternative parameterizations of recruitment, natural mortality, and stock mixing (shown to have large effects on the stock assessments) programmed into the model.  This flexibility allows for testing of how different procedures perform under alternative scenarios of stock biology and fisheries dynamics.  The </w:t>
      </w:r>
      <w:r w:rsidR="009E10AF">
        <w:rPr>
          <w:rFonts w:ascii="Times New Roman" w:eastAsia="Times New Roman" w:hAnsi="Times New Roman"/>
          <w:color w:val="000000"/>
          <w:sz w:val="20"/>
          <w:szCs w:val="20"/>
        </w:rPr>
        <w:t xml:space="preserve">report provides documentation of the final LW procedure </w:t>
      </w:r>
      <w:r w:rsidR="008147CA">
        <w:rPr>
          <w:rFonts w:ascii="Times New Roman" w:eastAsia="Times New Roman" w:hAnsi="Times New Roman"/>
          <w:color w:val="000000"/>
          <w:sz w:val="20"/>
          <w:szCs w:val="20"/>
        </w:rPr>
        <w:t>for the West and East Atlantic areas.</w:t>
      </w:r>
    </w:p>
    <w:p w14:paraId="2486CAA5" w14:textId="40B98B0C" w:rsidR="00727FE5" w:rsidRDefault="00727FE5" w:rsidP="00140EAA">
      <w:pPr>
        <w:autoSpaceDE w:val="0"/>
        <w:autoSpaceDN w:val="0"/>
        <w:adjustRightInd w:val="0"/>
        <w:spacing w:after="0" w:line="240" w:lineRule="auto"/>
        <w:jc w:val="both"/>
        <w:rPr>
          <w:rFonts w:ascii="Times New Roman" w:eastAsia="Times New Roman" w:hAnsi="Times New Roman"/>
          <w:color w:val="000000"/>
          <w:sz w:val="20"/>
          <w:szCs w:val="20"/>
        </w:rPr>
      </w:pPr>
    </w:p>
    <w:p w14:paraId="29183130" w14:textId="77777777" w:rsidR="004E6FAA" w:rsidRDefault="004E6FAA" w:rsidP="00140EAA">
      <w:pPr>
        <w:autoSpaceDE w:val="0"/>
        <w:autoSpaceDN w:val="0"/>
        <w:adjustRightInd w:val="0"/>
        <w:spacing w:after="0" w:line="240" w:lineRule="auto"/>
        <w:jc w:val="both"/>
        <w:rPr>
          <w:rFonts w:ascii="Times New Roman" w:eastAsia="Times New Roman" w:hAnsi="Times New Roman"/>
          <w:color w:val="000000"/>
          <w:sz w:val="20"/>
          <w:szCs w:val="20"/>
        </w:rPr>
      </w:pPr>
    </w:p>
    <w:p w14:paraId="6218F39B" w14:textId="1AA33CF9" w:rsidR="00A238FB" w:rsidRDefault="00A238FB" w:rsidP="00140EAA">
      <w:pPr>
        <w:autoSpaceDE w:val="0"/>
        <w:autoSpaceDN w:val="0"/>
        <w:adjustRightInd w:val="0"/>
        <w:spacing w:after="240" w:line="240" w:lineRule="auto"/>
        <w:jc w:val="both"/>
        <w:rPr>
          <w:rFonts w:ascii="Times New Roman" w:eastAsia="Times New Roman" w:hAnsi="Times New Roman"/>
          <w:b/>
          <w:bCs/>
          <w:color w:val="000000"/>
          <w:sz w:val="20"/>
          <w:szCs w:val="20"/>
        </w:rPr>
      </w:pPr>
      <w:r w:rsidRPr="000F58C5">
        <w:rPr>
          <w:rFonts w:ascii="Times New Roman" w:eastAsia="Times New Roman" w:hAnsi="Times New Roman"/>
          <w:b/>
          <w:bCs/>
          <w:color w:val="000000"/>
          <w:sz w:val="20"/>
          <w:szCs w:val="20"/>
        </w:rPr>
        <w:t>2. Methods</w:t>
      </w:r>
      <w:r w:rsidR="001B3D9F">
        <w:rPr>
          <w:rFonts w:ascii="Times New Roman" w:eastAsia="Times New Roman" w:hAnsi="Times New Roman"/>
          <w:b/>
          <w:bCs/>
          <w:color w:val="000000"/>
          <w:sz w:val="20"/>
          <w:szCs w:val="20"/>
        </w:rPr>
        <w:t xml:space="preserve"> and Results</w:t>
      </w:r>
    </w:p>
    <w:p w14:paraId="0C206673" w14:textId="17707DE9" w:rsidR="008147CA" w:rsidRDefault="008147CA" w:rsidP="00140EAA">
      <w:pPr>
        <w:autoSpaceDE w:val="0"/>
        <w:autoSpaceDN w:val="0"/>
        <w:adjustRightInd w:val="0"/>
        <w:spacing w:after="240" w:line="240" w:lineRule="auto"/>
        <w:jc w:val="both"/>
        <w:rPr>
          <w:rFonts w:ascii="Times New Roman" w:eastAsia="Times New Roman" w:hAnsi="Times New Roman"/>
          <w:bCs/>
          <w:color w:val="000000"/>
          <w:sz w:val="20"/>
          <w:szCs w:val="20"/>
        </w:rPr>
      </w:pPr>
      <w:r>
        <w:rPr>
          <w:rFonts w:ascii="Times New Roman" w:eastAsia="Times New Roman" w:hAnsi="Times New Roman"/>
          <w:bCs/>
          <w:color w:val="000000"/>
          <w:sz w:val="20"/>
          <w:szCs w:val="20"/>
        </w:rPr>
        <w:t>The LW CMP was tuned to six scenarios in the ABT_MSE R package, version 7.8.4:</w:t>
      </w:r>
    </w:p>
    <w:p w14:paraId="6F290F90" w14:textId="08382526" w:rsidR="008147CA" w:rsidRPr="008147CA" w:rsidRDefault="008147CA" w:rsidP="008147CA">
      <w:pPr>
        <w:pStyle w:val="ListParagraph"/>
        <w:numPr>
          <w:ilvl w:val="0"/>
          <w:numId w:val="5"/>
        </w:numPr>
        <w:autoSpaceDE w:val="0"/>
        <w:autoSpaceDN w:val="0"/>
        <w:adjustRightInd w:val="0"/>
        <w:spacing w:after="240" w:line="240" w:lineRule="auto"/>
        <w:jc w:val="both"/>
        <w:rPr>
          <w:rFonts w:ascii="Times New Roman" w:eastAsia="Times New Roman" w:hAnsi="Times New Roman"/>
          <w:bCs/>
          <w:color w:val="000000"/>
          <w:sz w:val="20"/>
          <w:szCs w:val="20"/>
        </w:rPr>
      </w:pPr>
      <w:r w:rsidRPr="008147CA">
        <w:rPr>
          <w:rFonts w:ascii="Times New Roman" w:eastAsia="Times New Roman" w:hAnsi="Times New Roman"/>
          <w:bCs/>
          <w:color w:val="000000"/>
          <w:sz w:val="20"/>
          <w:szCs w:val="20"/>
        </w:rPr>
        <w:t>LW5a: 60% PGK (E and W), 2-yr management cycle, 20% increase max, 30% decrease max, 2-cycle phase-in with 10% decrease max</w:t>
      </w:r>
    </w:p>
    <w:p w14:paraId="6CF5E99C" w14:textId="2C900202" w:rsidR="008147CA" w:rsidRPr="008147CA" w:rsidRDefault="008147CA" w:rsidP="008147CA">
      <w:pPr>
        <w:pStyle w:val="ListParagraph"/>
        <w:numPr>
          <w:ilvl w:val="0"/>
          <w:numId w:val="5"/>
        </w:numPr>
        <w:autoSpaceDE w:val="0"/>
        <w:autoSpaceDN w:val="0"/>
        <w:adjustRightInd w:val="0"/>
        <w:spacing w:after="240" w:line="240" w:lineRule="auto"/>
        <w:jc w:val="both"/>
        <w:rPr>
          <w:rFonts w:ascii="Times New Roman" w:eastAsia="Times New Roman" w:hAnsi="Times New Roman"/>
          <w:bCs/>
          <w:color w:val="000000"/>
          <w:sz w:val="20"/>
          <w:szCs w:val="20"/>
        </w:rPr>
      </w:pPr>
      <w:r w:rsidRPr="008147CA">
        <w:rPr>
          <w:rFonts w:ascii="Times New Roman" w:eastAsia="Times New Roman" w:hAnsi="Times New Roman"/>
          <w:bCs/>
          <w:color w:val="000000"/>
          <w:sz w:val="20"/>
          <w:szCs w:val="20"/>
        </w:rPr>
        <w:t>LW5b: 60% PGK (E and W), 3-yr management cycle, 20% increase max, 30% decrease max, 1-cycle phase-in with 10% decrease max</w:t>
      </w:r>
    </w:p>
    <w:p w14:paraId="2BA9DE52" w14:textId="60287BE2" w:rsidR="008147CA" w:rsidRPr="008147CA" w:rsidRDefault="008147CA" w:rsidP="008147CA">
      <w:pPr>
        <w:pStyle w:val="ListParagraph"/>
        <w:numPr>
          <w:ilvl w:val="0"/>
          <w:numId w:val="5"/>
        </w:numPr>
        <w:autoSpaceDE w:val="0"/>
        <w:autoSpaceDN w:val="0"/>
        <w:adjustRightInd w:val="0"/>
        <w:spacing w:after="240" w:line="240" w:lineRule="auto"/>
        <w:jc w:val="both"/>
        <w:rPr>
          <w:rFonts w:ascii="Times New Roman" w:eastAsia="Times New Roman" w:hAnsi="Times New Roman"/>
          <w:bCs/>
          <w:color w:val="000000"/>
          <w:sz w:val="20"/>
          <w:szCs w:val="20"/>
        </w:rPr>
      </w:pPr>
      <w:r w:rsidRPr="008147CA">
        <w:rPr>
          <w:rFonts w:ascii="Times New Roman" w:eastAsia="Times New Roman" w:hAnsi="Times New Roman"/>
          <w:bCs/>
          <w:color w:val="000000"/>
          <w:sz w:val="20"/>
          <w:szCs w:val="20"/>
        </w:rPr>
        <w:t>LW5c: 60% PGK (E and W), 3-yr management cycle, 20% increase max, 35% decrease max, 1-cycle phase-in with 10% decrease max</w:t>
      </w:r>
    </w:p>
    <w:p w14:paraId="4821971F" w14:textId="5BF80BAD" w:rsidR="008147CA" w:rsidRPr="008147CA" w:rsidRDefault="008147CA" w:rsidP="008147CA">
      <w:pPr>
        <w:pStyle w:val="ListParagraph"/>
        <w:numPr>
          <w:ilvl w:val="0"/>
          <w:numId w:val="5"/>
        </w:numPr>
        <w:autoSpaceDE w:val="0"/>
        <w:autoSpaceDN w:val="0"/>
        <w:adjustRightInd w:val="0"/>
        <w:spacing w:after="240" w:line="240" w:lineRule="auto"/>
        <w:jc w:val="both"/>
        <w:rPr>
          <w:rFonts w:ascii="Times New Roman" w:eastAsia="Times New Roman" w:hAnsi="Times New Roman"/>
          <w:bCs/>
          <w:color w:val="000000"/>
          <w:sz w:val="20"/>
          <w:szCs w:val="20"/>
        </w:rPr>
      </w:pPr>
      <w:r w:rsidRPr="008147CA">
        <w:rPr>
          <w:rFonts w:ascii="Times New Roman" w:eastAsia="Times New Roman" w:hAnsi="Times New Roman"/>
          <w:bCs/>
          <w:color w:val="000000"/>
          <w:sz w:val="20"/>
          <w:szCs w:val="20"/>
        </w:rPr>
        <w:t>LW6a: 70% PGK (E and W), 2-yr management cycle, 20% increase max, 30% decrease max, 2-cycle phase-in with 10% decrease max</w:t>
      </w:r>
    </w:p>
    <w:p w14:paraId="4BAF50E2" w14:textId="14EEE9E7" w:rsidR="008147CA" w:rsidRPr="008147CA" w:rsidRDefault="008147CA" w:rsidP="008147CA">
      <w:pPr>
        <w:pStyle w:val="ListParagraph"/>
        <w:numPr>
          <w:ilvl w:val="0"/>
          <w:numId w:val="5"/>
        </w:numPr>
        <w:autoSpaceDE w:val="0"/>
        <w:autoSpaceDN w:val="0"/>
        <w:adjustRightInd w:val="0"/>
        <w:spacing w:after="240" w:line="240" w:lineRule="auto"/>
        <w:jc w:val="both"/>
        <w:rPr>
          <w:rFonts w:ascii="Times New Roman" w:eastAsia="Times New Roman" w:hAnsi="Times New Roman"/>
          <w:bCs/>
          <w:color w:val="000000"/>
          <w:sz w:val="20"/>
          <w:szCs w:val="20"/>
        </w:rPr>
      </w:pPr>
      <w:r w:rsidRPr="008147CA">
        <w:rPr>
          <w:rFonts w:ascii="Times New Roman" w:eastAsia="Times New Roman" w:hAnsi="Times New Roman"/>
          <w:bCs/>
          <w:color w:val="000000"/>
          <w:sz w:val="20"/>
          <w:szCs w:val="20"/>
        </w:rPr>
        <w:t>LW6b: 70% PGK (E and W), 3-yr management cycle, 20% increase max, 30% decrease max, 1-cycle phase-in with 10% decrease max</w:t>
      </w:r>
    </w:p>
    <w:p w14:paraId="35AAD9DB" w14:textId="1C341321" w:rsidR="008147CA" w:rsidRDefault="008147CA" w:rsidP="00140EAA">
      <w:pPr>
        <w:pStyle w:val="ListParagraph"/>
        <w:numPr>
          <w:ilvl w:val="0"/>
          <w:numId w:val="5"/>
        </w:numPr>
        <w:autoSpaceDE w:val="0"/>
        <w:autoSpaceDN w:val="0"/>
        <w:adjustRightInd w:val="0"/>
        <w:spacing w:after="240" w:line="240" w:lineRule="auto"/>
        <w:jc w:val="both"/>
        <w:rPr>
          <w:rFonts w:ascii="Times New Roman" w:eastAsia="Times New Roman" w:hAnsi="Times New Roman"/>
          <w:bCs/>
          <w:color w:val="000000"/>
          <w:sz w:val="20"/>
          <w:szCs w:val="20"/>
        </w:rPr>
      </w:pPr>
      <w:r w:rsidRPr="008147CA">
        <w:rPr>
          <w:rFonts w:ascii="Times New Roman" w:eastAsia="Times New Roman" w:hAnsi="Times New Roman"/>
          <w:bCs/>
          <w:color w:val="000000"/>
          <w:sz w:val="20"/>
          <w:szCs w:val="20"/>
        </w:rPr>
        <w:t>LW7b: same as LW5b, but with PGK East tuned upward to meet LD15%=0.4 (not achieved in LW5b)</w:t>
      </w:r>
    </w:p>
    <w:p w14:paraId="14CE8965" w14:textId="0E71943E" w:rsid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Pr>
          <w:rFonts w:ascii="Times New Roman" w:eastAsia="Times New Roman" w:hAnsi="Times New Roman"/>
          <w:bCs/>
          <w:color w:val="000000"/>
          <w:sz w:val="20"/>
          <w:szCs w:val="20"/>
        </w:rPr>
        <w:t>The final tuning parameters for the six scenarios were:</w:t>
      </w:r>
    </w:p>
    <w:p w14:paraId="69E0B647" w14:textId="606195C0" w:rsid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sidRPr="0040585F">
        <w:rPr>
          <w:rFonts w:ascii="Times New Roman" w:eastAsia="Times New Roman" w:hAnsi="Times New Roman"/>
          <w:bCs/>
          <w:color w:val="000000"/>
          <w:sz w:val="20"/>
          <w:szCs w:val="20"/>
        </w:rPr>
        <w:t>LW5a</w:t>
      </w:r>
      <w:r>
        <w:rPr>
          <w:rFonts w:ascii="Times New Roman" w:eastAsia="Times New Roman" w:hAnsi="Times New Roman"/>
          <w:bCs/>
          <w:color w:val="000000"/>
          <w:sz w:val="20"/>
          <w:szCs w:val="20"/>
        </w:rPr>
        <w:t xml:space="preserve">: </w:t>
      </w:r>
      <w:r w:rsidRPr="0040585F">
        <w:rPr>
          <w:rFonts w:ascii="Times New Roman" w:eastAsia="Times New Roman" w:hAnsi="Times New Roman"/>
          <w:bCs/>
          <w:color w:val="000000"/>
          <w:sz w:val="20"/>
          <w:szCs w:val="20"/>
        </w:rPr>
        <w:t xml:space="preserve"> E</w:t>
      </w:r>
      <w:r>
        <w:rPr>
          <w:rFonts w:ascii="Times New Roman" w:eastAsia="Times New Roman" w:hAnsi="Times New Roman"/>
          <w:bCs/>
          <w:color w:val="000000"/>
          <w:sz w:val="20"/>
          <w:szCs w:val="20"/>
        </w:rPr>
        <w:t>ast=</w:t>
      </w:r>
      <w:r w:rsidRPr="0040585F">
        <w:rPr>
          <w:rFonts w:ascii="Times New Roman" w:eastAsia="Times New Roman" w:hAnsi="Times New Roman"/>
          <w:bCs/>
          <w:color w:val="000000"/>
          <w:sz w:val="20"/>
          <w:szCs w:val="20"/>
        </w:rPr>
        <w:t>2.30</w:t>
      </w:r>
      <w:r>
        <w:rPr>
          <w:rFonts w:ascii="Times New Roman" w:eastAsia="Times New Roman" w:hAnsi="Times New Roman"/>
          <w:bCs/>
          <w:color w:val="000000"/>
          <w:sz w:val="20"/>
          <w:szCs w:val="20"/>
        </w:rPr>
        <w:t>,</w:t>
      </w:r>
      <w:r w:rsidRPr="0040585F">
        <w:rPr>
          <w:rFonts w:ascii="Times New Roman" w:eastAsia="Times New Roman" w:hAnsi="Times New Roman"/>
          <w:bCs/>
          <w:color w:val="000000"/>
          <w:sz w:val="20"/>
          <w:szCs w:val="20"/>
        </w:rPr>
        <w:t xml:space="preserve"> </w:t>
      </w:r>
      <w:r>
        <w:rPr>
          <w:rFonts w:ascii="Times New Roman" w:eastAsia="Times New Roman" w:hAnsi="Times New Roman"/>
          <w:bCs/>
          <w:color w:val="000000"/>
          <w:sz w:val="20"/>
          <w:szCs w:val="20"/>
        </w:rPr>
        <w:t>West=</w:t>
      </w:r>
      <w:r w:rsidRPr="0040585F">
        <w:rPr>
          <w:rFonts w:ascii="Times New Roman" w:eastAsia="Times New Roman" w:hAnsi="Times New Roman"/>
          <w:bCs/>
          <w:color w:val="000000"/>
          <w:sz w:val="20"/>
          <w:szCs w:val="20"/>
        </w:rPr>
        <w:t>0.895</w:t>
      </w:r>
    </w:p>
    <w:p w14:paraId="0A55A8B4" w14:textId="0E3C9116" w:rsid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sidRPr="0040585F">
        <w:rPr>
          <w:rFonts w:ascii="Times New Roman" w:eastAsia="Times New Roman" w:hAnsi="Times New Roman"/>
          <w:bCs/>
          <w:color w:val="000000"/>
          <w:sz w:val="20"/>
          <w:szCs w:val="20"/>
        </w:rPr>
        <w:t>LW5b</w:t>
      </w:r>
      <w:r>
        <w:rPr>
          <w:rFonts w:ascii="Times New Roman" w:eastAsia="Times New Roman" w:hAnsi="Times New Roman"/>
          <w:bCs/>
          <w:color w:val="000000"/>
          <w:sz w:val="20"/>
          <w:szCs w:val="20"/>
        </w:rPr>
        <w:t>:  East=</w:t>
      </w:r>
      <w:r w:rsidRPr="0040585F">
        <w:rPr>
          <w:rFonts w:ascii="Times New Roman" w:eastAsia="Times New Roman" w:hAnsi="Times New Roman"/>
          <w:bCs/>
          <w:color w:val="000000"/>
          <w:sz w:val="20"/>
          <w:szCs w:val="20"/>
        </w:rPr>
        <w:t>2.345</w:t>
      </w:r>
      <w:r>
        <w:rPr>
          <w:rFonts w:ascii="Times New Roman" w:eastAsia="Times New Roman" w:hAnsi="Times New Roman"/>
          <w:bCs/>
          <w:color w:val="000000"/>
          <w:sz w:val="20"/>
          <w:szCs w:val="20"/>
        </w:rPr>
        <w:t>, West=</w:t>
      </w:r>
      <w:r w:rsidRPr="0040585F">
        <w:rPr>
          <w:rFonts w:ascii="Times New Roman" w:eastAsia="Times New Roman" w:hAnsi="Times New Roman"/>
          <w:bCs/>
          <w:color w:val="000000"/>
          <w:sz w:val="20"/>
          <w:szCs w:val="20"/>
        </w:rPr>
        <w:t>0.88</w:t>
      </w:r>
    </w:p>
    <w:p w14:paraId="4496AEF1" w14:textId="29AB4D71" w:rsidR="0040585F" w:rsidRP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sidRPr="0040585F">
        <w:rPr>
          <w:rFonts w:ascii="Times New Roman" w:eastAsia="Times New Roman" w:hAnsi="Times New Roman"/>
          <w:bCs/>
          <w:color w:val="000000"/>
          <w:sz w:val="20"/>
          <w:szCs w:val="20"/>
        </w:rPr>
        <w:t>LW5c</w:t>
      </w:r>
      <w:r>
        <w:rPr>
          <w:rFonts w:ascii="Times New Roman" w:eastAsia="Times New Roman" w:hAnsi="Times New Roman"/>
          <w:bCs/>
          <w:color w:val="000000"/>
          <w:sz w:val="20"/>
          <w:szCs w:val="20"/>
        </w:rPr>
        <w:t>:  East=</w:t>
      </w:r>
      <w:r w:rsidRPr="0040585F">
        <w:rPr>
          <w:rFonts w:ascii="Times New Roman" w:eastAsia="Times New Roman" w:hAnsi="Times New Roman"/>
          <w:bCs/>
          <w:color w:val="000000"/>
          <w:sz w:val="20"/>
          <w:szCs w:val="20"/>
        </w:rPr>
        <w:t>2.50</w:t>
      </w:r>
      <w:r>
        <w:rPr>
          <w:rFonts w:ascii="Times New Roman" w:eastAsia="Times New Roman" w:hAnsi="Times New Roman"/>
          <w:bCs/>
          <w:color w:val="000000"/>
          <w:sz w:val="20"/>
          <w:szCs w:val="20"/>
        </w:rPr>
        <w:t>, West=</w:t>
      </w:r>
      <w:r w:rsidRPr="0040585F">
        <w:rPr>
          <w:rFonts w:ascii="Times New Roman" w:eastAsia="Times New Roman" w:hAnsi="Times New Roman"/>
          <w:bCs/>
          <w:color w:val="000000"/>
          <w:sz w:val="20"/>
          <w:szCs w:val="20"/>
        </w:rPr>
        <w:t>0.885</w:t>
      </w:r>
    </w:p>
    <w:p w14:paraId="6CBDB21C" w14:textId="2C3B1105" w:rsidR="0040585F" w:rsidRP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sidRPr="0040585F">
        <w:rPr>
          <w:rFonts w:ascii="Times New Roman" w:eastAsia="Times New Roman" w:hAnsi="Times New Roman"/>
          <w:bCs/>
          <w:color w:val="000000"/>
          <w:sz w:val="20"/>
          <w:szCs w:val="20"/>
        </w:rPr>
        <w:t>LW6a</w:t>
      </w:r>
      <w:r>
        <w:rPr>
          <w:rFonts w:ascii="Times New Roman" w:eastAsia="Times New Roman" w:hAnsi="Times New Roman"/>
          <w:bCs/>
          <w:color w:val="000000"/>
          <w:sz w:val="20"/>
          <w:szCs w:val="20"/>
        </w:rPr>
        <w:t xml:space="preserve">: East= </w:t>
      </w:r>
      <w:r w:rsidRPr="0040585F">
        <w:rPr>
          <w:rFonts w:ascii="Times New Roman" w:eastAsia="Times New Roman" w:hAnsi="Times New Roman"/>
          <w:bCs/>
          <w:color w:val="000000"/>
          <w:sz w:val="20"/>
          <w:szCs w:val="20"/>
        </w:rPr>
        <w:t>1.87</w:t>
      </w:r>
      <w:r>
        <w:rPr>
          <w:rFonts w:ascii="Times New Roman" w:eastAsia="Times New Roman" w:hAnsi="Times New Roman"/>
          <w:bCs/>
          <w:color w:val="000000"/>
          <w:sz w:val="20"/>
          <w:szCs w:val="20"/>
        </w:rPr>
        <w:t>, West=</w:t>
      </w:r>
      <w:r w:rsidRPr="0040585F">
        <w:rPr>
          <w:rFonts w:ascii="Times New Roman" w:eastAsia="Times New Roman" w:hAnsi="Times New Roman"/>
          <w:bCs/>
          <w:color w:val="000000"/>
          <w:sz w:val="20"/>
          <w:szCs w:val="20"/>
        </w:rPr>
        <w:t>0.74</w:t>
      </w:r>
    </w:p>
    <w:p w14:paraId="34FC706B" w14:textId="293524B2" w:rsidR="0040585F" w:rsidRP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sidRPr="0040585F">
        <w:rPr>
          <w:rFonts w:ascii="Times New Roman" w:eastAsia="Times New Roman" w:hAnsi="Times New Roman"/>
          <w:bCs/>
          <w:color w:val="000000"/>
          <w:sz w:val="20"/>
          <w:szCs w:val="20"/>
        </w:rPr>
        <w:t>LW6b</w:t>
      </w:r>
      <w:r>
        <w:rPr>
          <w:rFonts w:ascii="Times New Roman" w:eastAsia="Times New Roman" w:hAnsi="Times New Roman"/>
          <w:bCs/>
          <w:color w:val="000000"/>
          <w:sz w:val="20"/>
          <w:szCs w:val="20"/>
        </w:rPr>
        <w:t>:  East=</w:t>
      </w:r>
      <w:r w:rsidRPr="0040585F">
        <w:rPr>
          <w:rFonts w:ascii="Times New Roman" w:eastAsia="Times New Roman" w:hAnsi="Times New Roman"/>
          <w:bCs/>
          <w:color w:val="000000"/>
          <w:sz w:val="20"/>
          <w:szCs w:val="20"/>
        </w:rPr>
        <w:t>1.89</w:t>
      </w:r>
      <w:r>
        <w:rPr>
          <w:rFonts w:ascii="Times New Roman" w:eastAsia="Times New Roman" w:hAnsi="Times New Roman"/>
          <w:bCs/>
          <w:color w:val="000000"/>
          <w:sz w:val="20"/>
          <w:szCs w:val="20"/>
        </w:rPr>
        <w:t>, West=</w:t>
      </w:r>
      <w:r w:rsidRPr="0040585F">
        <w:rPr>
          <w:rFonts w:ascii="Times New Roman" w:eastAsia="Times New Roman" w:hAnsi="Times New Roman"/>
          <w:bCs/>
          <w:color w:val="000000"/>
          <w:sz w:val="20"/>
          <w:szCs w:val="20"/>
        </w:rPr>
        <w:t>0.74</w:t>
      </w:r>
    </w:p>
    <w:p w14:paraId="3650CDFD" w14:textId="76CD897E" w:rsid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sidRPr="0040585F">
        <w:rPr>
          <w:rFonts w:ascii="Times New Roman" w:eastAsia="Times New Roman" w:hAnsi="Times New Roman"/>
          <w:bCs/>
          <w:color w:val="000000"/>
          <w:sz w:val="20"/>
          <w:szCs w:val="20"/>
        </w:rPr>
        <w:t>LW7b</w:t>
      </w:r>
      <w:r>
        <w:rPr>
          <w:rFonts w:ascii="Times New Roman" w:eastAsia="Times New Roman" w:hAnsi="Times New Roman"/>
          <w:bCs/>
          <w:color w:val="000000"/>
          <w:sz w:val="20"/>
          <w:szCs w:val="20"/>
        </w:rPr>
        <w:t>:</w:t>
      </w:r>
      <w:r w:rsidRPr="0040585F">
        <w:rPr>
          <w:rFonts w:ascii="Times New Roman" w:eastAsia="Times New Roman" w:hAnsi="Times New Roman"/>
          <w:bCs/>
          <w:color w:val="000000"/>
          <w:sz w:val="20"/>
          <w:szCs w:val="20"/>
        </w:rPr>
        <w:t xml:space="preserve"> </w:t>
      </w:r>
      <w:r>
        <w:rPr>
          <w:rFonts w:ascii="Times New Roman" w:eastAsia="Times New Roman" w:hAnsi="Times New Roman"/>
          <w:bCs/>
          <w:color w:val="000000"/>
          <w:sz w:val="20"/>
          <w:szCs w:val="20"/>
        </w:rPr>
        <w:t xml:space="preserve"> East=</w:t>
      </w:r>
      <w:r w:rsidRPr="0040585F">
        <w:rPr>
          <w:rFonts w:ascii="Times New Roman" w:eastAsia="Times New Roman" w:hAnsi="Times New Roman"/>
          <w:bCs/>
          <w:color w:val="000000"/>
          <w:sz w:val="20"/>
          <w:szCs w:val="20"/>
        </w:rPr>
        <w:t>2.15</w:t>
      </w:r>
      <w:r>
        <w:rPr>
          <w:rFonts w:ascii="Times New Roman" w:eastAsia="Times New Roman" w:hAnsi="Times New Roman"/>
          <w:bCs/>
          <w:color w:val="000000"/>
          <w:sz w:val="20"/>
          <w:szCs w:val="20"/>
        </w:rPr>
        <w:t>, West=</w:t>
      </w:r>
      <w:r w:rsidRPr="0040585F">
        <w:rPr>
          <w:rFonts w:ascii="Times New Roman" w:eastAsia="Times New Roman" w:hAnsi="Times New Roman"/>
          <w:bCs/>
          <w:color w:val="000000"/>
          <w:sz w:val="20"/>
          <w:szCs w:val="20"/>
        </w:rPr>
        <w:t>0.90</w:t>
      </w:r>
    </w:p>
    <w:p w14:paraId="110D66E7" w14:textId="072D32A2" w:rsidR="0040585F" w:rsidRPr="0040585F" w:rsidRDefault="0040585F" w:rsidP="0040585F">
      <w:pPr>
        <w:autoSpaceDE w:val="0"/>
        <w:autoSpaceDN w:val="0"/>
        <w:adjustRightInd w:val="0"/>
        <w:spacing w:after="240" w:line="240" w:lineRule="auto"/>
        <w:jc w:val="both"/>
        <w:rPr>
          <w:rFonts w:ascii="Times New Roman" w:eastAsia="Times New Roman" w:hAnsi="Times New Roman"/>
          <w:bCs/>
          <w:color w:val="000000"/>
          <w:sz w:val="20"/>
          <w:szCs w:val="20"/>
        </w:rPr>
      </w:pPr>
      <w:r>
        <w:rPr>
          <w:rFonts w:ascii="Times New Roman" w:eastAsia="Times New Roman" w:hAnsi="Times New Roman"/>
          <w:bCs/>
          <w:color w:val="000000"/>
          <w:sz w:val="20"/>
          <w:szCs w:val="20"/>
        </w:rPr>
        <w:t xml:space="preserve">The results are summarized in conjunction with all other final CMPs, available on the project Shiny application websites here for main results page: </w:t>
      </w:r>
      <w:hyperlink r:id="rId8" w:history="1">
        <w:r w:rsidRPr="0067172B">
          <w:rPr>
            <w:rStyle w:val="Hyperlink"/>
            <w:rFonts w:ascii="Times New Roman" w:eastAsia="Times New Roman" w:hAnsi="Times New Roman"/>
            <w:bCs/>
            <w:sz w:val="20"/>
            <w:szCs w:val="20"/>
          </w:rPr>
          <w:t>https://apps.bluematterscience.com/ABTMSE/</w:t>
        </w:r>
      </w:hyperlink>
      <w:r>
        <w:rPr>
          <w:rFonts w:ascii="Times New Roman" w:eastAsia="Times New Roman" w:hAnsi="Times New Roman"/>
          <w:bCs/>
          <w:color w:val="000000"/>
          <w:sz w:val="20"/>
          <w:szCs w:val="20"/>
        </w:rPr>
        <w:t xml:space="preserve">, and the summary statistic table (i.e. </w:t>
      </w:r>
      <w:proofErr w:type="spellStart"/>
      <w:r>
        <w:rPr>
          <w:rFonts w:ascii="Times New Roman" w:eastAsia="Times New Roman" w:hAnsi="Times New Roman"/>
          <w:bCs/>
          <w:color w:val="000000"/>
          <w:sz w:val="20"/>
          <w:szCs w:val="20"/>
        </w:rPr>
        <w:t>quiltplots</w:t>
      </w:r>
      <w:proofErr w:type="spellEnd"/>
      <w:r>
        <w:rPr>
          <w:rFonts w:ascii="Times New Roman" w:eastAsia="Times New Roman" w:hAnsi="Times New Roman"/>
          <w:bCs/>
          <w:color w:val="000000"/>
          <w:sz w:val="20"/>
          <w:szCs w:val="20"/>
        </w:rPr>
        <w:t xml:space="preserve">) here: </w:t>
      </w:r>
      <w:hyperlink r:id="rId9" w:history="1">
        <w:r w:rsidRPr="0067172B">
          <w:rPr>
            <w:rStyle w:val="Hyperlink"/>
            <w:rFonts w:ascii="Times New Roman" w:eastAsia="Times New Roman" w:hAnsi="Times New Roman"/>
            <w:bCs/>
            <w:sz w:val="20"/>
            <w:szCs w:val="20"/>
          </w:rPr>
          <w:t>https://apps.bluematterscience.com/ABTMSE_Performance2/</w:t>
        </w:r>
      </w:hyperlink>
      <w:r>
        <w:rPr>
          <w:rFonts w:ascii="Times New Roman" w:eastAsia="Times New Roman" w:hAnsi="Times New Roman"/>
          <w:bCs/>
          <w:color w:val="000000"/>
          <w:sz w:val="20"/>
          <w:szCs w:val="20"/>
        </w:rPr>
        <w:t xml:space="preserve">.  The following sections document the final LW procedure applied to the West and East areas under each of the six scenarios.  </w:t>
      </w:r>
      <w:r w:rsidR="009D12B4">
        <w:rPr>
          <w:rFonts w:ascii="Times New Roman" w:eastAsia="Times New Roman" w:hAnsi="Times New Roman"/>
          <w:bCs/>
          <w:color w:val="000000"/>
          <w:sz w:val="20"/>
          <w:szCs w:val="20"/>
        </w:rPr>
        <w:t xml:space="preserve"> The R code to implement the LW CMP in the ABT_MSE </w:t>
      </w:r>
      <w:proofErr w:type="gramStart"/>
      <w:r w:rsidR="009D12B4">
        <w:rPr>
          <w:rFonts w:ascii="Times New Roman" w:eastAsia="Times New Roman" w:hAnsi="Times New Roman"/>
          <w:bCs/>
          <w:color w:val="000000"/>
          <w:sz w:val="20"/>
          <w:szCs w:val="20"/>
        </w:rPr>
        <w:t>package  is</w:t>
      </w:r>
      <w:proofErr w:type="gramEnd"/>
      <w:r w:rsidR="009D12B4">
        <w:rPr>
          <w:rFonts w:ascii="Times New Roman" w:eastAsia="Times New Roman" w:hAnsi="Times New Roman"/>
          <w:bCs/>
          <w:color w:val="000000"/>
          <w:sz w:val="20"/>
          <w:szCs w:val="20"/>
        </w:rPr>
        <w:t xml:space="preserve"> included in Appendix A for the 2-yr cycle, and Appendix B for the 3-yr cycle procedure.</w:t>
      </w:r>
    </w:p>
    <w:p w14:paraId="207396E9" w14:textId="3CA4A849" w:rsidR="009E10AF" w:rsidRPr="008147CA" w:rsidRDefault="009E10AF" w:rsidP="009E10AF">
      <w:pPr>
        <w:rPr>
          <w:rFonts w:ascii="Times New Roman" w:eastAsiaTheme="minorEastAsia" w:hAnsi="Times New Roman"/>
          <w:b/>
          <w:sz w:val="20"/>
          <w:szCs w:val="20"/>
        </w:rPr>
      </w:pPr>
      <w:r w:rsidRPr="008147CA">
        <w:rPr>
          <w:rFonts w:ascii="Times New Roman" w:eastAsiaTheme="minorEastAsia" w:hAnsi="Times New Roman"/>
          <w:b/>
          <w:sz w:val="20"/>
          <w:szCs w:val="20"/>
        </w:rPr>
        <w:t>2.1. WEST AREA PROCEDURE</w:t>
      </w:r>
    </w:p>
    <w:p w14:paraId="0D7132D4"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A target index value for the West Atlantic area is calculated as the ratio of average catches to a summed average relative abundance metric for both stocks:</w:t>
      </w:r>
    </w:p>
    <w:p w14:paraId="4AB79BBF" w14:textId="3D0706A7" w:rsidR="009E10AF" w:rsidRPr="009E10AF" w:rsidRDefault="00801856" w:rsidP="009E10AF">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WATL_target </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Catch</m:t>
                      </m:r>
                    </m:e>
                  </m:acc>
                </m:e>
                <m:sub>
                  <m:r>
                    <w:rPr>
                      <w:rFonts w:ascii="Cambria Math" w:hAnsi="Cambria Math"/>
                      <w:sz w:val="20"/>
                      <w:szCs w:val="20"/>
                    </w:rPr>
                    <m:t>WATL_2016-2018</m:t>
                  </m:r>
                </m:sub>
              </m:sSub>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CPUE</m:t>
                      </m:r>
                    </m:e>
                  </m:acc>
                </m:e>
                <m:sub>
                  <m:r>
                    <w:rPr>
                      <w:rFonts w:ascii="Cambria Math" w:hAnsi="Cambria Math"/>
                      <w:sz w:val="20"/>
                      <w:szCs w:val="20"/>
                    </w:rPr>
                    <m:t>GoM_2016-2018</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CPUE</m:t>
                      </m:r>
                    </m:e>
                  </m:acc>
                </m:e>
                <m:sub>
                  <m:r>
                    <w:rPr>
                      <w:rFonts w:ascii="Cambria Math" w:hAnsi="Cambria Math"/>
                      <w:sz w:val="20"/>
                      <w:szCs w:val="20"/>
                    </w:rPr>
                    <m:t>Med_2016-2018</m:t>
                  </m:r>
                </m:sub>
              </m:sSub>
            </m:den>
          </m:f>
        </m:oMath>
      </m:oMathPara>
    </w:p>
    <w:p w14:paraId="00DED917"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where</w:t>
      </w:r>
    </w:p>
    <w:p w14:paraId="003AEDA6" w14:textId="77777777" w:rsidR="009E10AF" w:rsidRPr="009E10AF" w:rsidRDefault="009E10AF" w:rsidP="009E10AF">
      <w:pPr>
        <w:rPr>
          <w:rFonts w:ascii="Times New Roman" w:eastAsiaTheme="minorEastAsia" w:hAnsi="Times New Roman"/>
          <w:sz w:val="20"/>
          <w:szCs w:val="20"/>
        </w:rPr>
      </w:pPr>
      <w:proofErr w:type="spellStart"/>
      <w:r w:rsidRPr="009E10AF">
        <w:rPr>
          <w:rFonts w:ascii="Times New Roman" w:eastAsiaTheme="minorEastAsia" w:hAnsi="Times New Roman"/>
          <w:i/>
          <w:sz w:val="20"/>
          <w:szCs w:val="20"/>
        </w:rPr>
        <w:lastRenderedPageBreak/>
        <w:t>I</w:t>
      </w:r>
      <w:r w:rsidRPr="009E10AF">
        <w:rPr>
          <w:rFonts w:ascii="Times New Roman" w:eastAsiaTheme="minorEastAsia" w:hAnsi="Times New Roman"/>
          <w:i/>
          <w:sz w:val="20"/>
          <w:szCs w:val="20"/>
          <w:vertAlign w:val="subscript"/>
        </w:rPr>
        <w:t>WATL_target</w:t>
      </w:r>
      <w:proofErr w:type="spellEnd"/>
      <w:r w:rsidRPr="009E10AF">
        <w:rPr>
          <w:rFonts w:ascii="Times New Roman" w:eastAsiaTheme="minorEastAsia" w:hAnsi="Times New Roman"/>
          <w:sz w:val="20"/>
          <w:szCs w:val="20"/>
        </w:rPr>
        <w:t xml:space="preserve"> is a target relative harvest rate index for the West Atlantic area</w:t>
      </w:r>
    </w:p>
    <w:p w14:paraId="6FBBA5D0"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i/>
          <w:sz w:val="20"/>
          <w:szCs w:val="20"/>
        </w:rPr>
        <w:t>CPUE</w:t>
      </w:r>
      <w:r w:rsidRPr="009E10AF">
        <w:rPr>
          <w:rFonts w:ascii="Times New Roman" w:eastAsiaTheme="minorEastAsia" w:hAnsi="Times New Roman"/>
          <w:sz w:val="20"/>
          <w:szCs w:val="20"/>
        </w:rPr>
        <w:t xml:space="preserve"> are the standardized index values for the stock biomass, divided by the mean of the CPUE time series up to year 2018.   </w:t>
      </w:r>
    </w:p>
    <w:p w14:paraId="0CD4FDDC"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A current index value for the West Atlantic area is calculated as the ratio of average recent catches to a summed recent average relative abundance metric for both stocks:</w:t>
      </w:r>
    </w:p>
    <w:p w14:paraId="621B8E1A" w14:textId="77777777" w:rsidR="009E10AF" w:rsidRPr="009E10AF" w:rsidRDefault="00801856" w:rsidP="009E10AF">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WATL_current </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Catch</m:t>
                      </m:r>
                    </m:e>
                  </m:acc>
                </m:e>
                <m:sub>
                  <m:r>
                    <w:rPr>
                      <w:rFonts w:ascii="Cambria Math" w:hAnsi="Cambria Math"/>
                      <w:sz w:val="20"/>
                      <w:szCs w:val="20"/>
                    </w:rPr>
                    <m:t>WAT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t-2:t</m:t>
                      </m:r>
                    </m:sub>
                  </m:sSub>
                </m:sub>
              </m:sSub>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CPUE</m:t>
                      </m:r>
                    </m:e>
                  </m:acc>
                </m:e>
                <m:sub>
                  <m:r>
                    <w:rPr>
                      <w:rFonts w:ascii="Cambria Math" w:hAnsi="Cambria Math"/>
                      <w:sz w:val="20"/>
                      <w:szCs w:val="20"/>
                    </w:rPr>
                    <m:t>GoM_t-2:t</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CPUE</m:t>
                      </m:r>
                    </m:e>
                  </m:acc>
                </m:e>
                <m:sub>
                  <m:r>
                    <w:rPr>
                      <w:rFonts w:ascii="Cambria Math" w:hAnsi="Cambria Math"/>
                      <w:sz w:val="20"/>
                      <w:szCs w:val="20"/>
                    </w:rPr>
                    <m:t>Med_t-2:t</m:t>
                  </m:r>
                </m:sub>
              </m:sSub>
            </m:den>
          </m:f>
        </m:oMath>
      </m:oMathPara>
    </w:p>
    <w:p w14:paraId="56276997"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where</w:t>
      </w:r>
    </w:p>
    <w:p w14:paraId="410AA025" w14:textId="6D5046FA" w:rsidR="009E10AF" w:rsidRPr="009E10AF" w:rsidRDefault="009E10AF" w:rsidP="009E10AF">
      <w:pPr>
        <w:rPr>
          <w:rFonts w:ascii="Times New Roman" w:eastAsiaTheme="minorEastAsia" w:hAnsi="Times New Roman"/>
          <w:sz w:val="20"/>
          <w:szCs w:val="20"/>
        </w:rPr>
      </w:pPr>
      <w:proofErr w:type="spellStart"/>
      <w:r w:rsidRPr="009E10AF">
        <w:rPr>
          <w:rFonts w:ascii="Times New Roman" w:eastAsiaTheme="minorEastAsia" w:hAnsi="Times New Roman"/>
          <w:i/>
          <w:sz w:val="20"/>
          <w:szCs w:val="20"/>
        </w:rPr>
        <w:t>I</w:t>
      </w:r>
      <w:r w:rsidRPr="009E10AF">
        <w:rPr>
          <w:rFonts w:ascii="Times New Roman" w:eastAsiaTheme="minorEastAsia" w:hAnsi="Times New Roman"/>
          <w:i/>
          <w:sz w:val="20"/>
          <w:szCs w:val="20"/>
          <w:vertAlign w:val="subscript"/>
        </w:rPr>
        <w:t>WATL_current</w:t>
      </w:r>
      <w:proofErr w:type="spellEnd"/>
      <w:r w:rsidRPr="009E10AF">
        <w:rPr>
          <w:rFonts w:ascii="Times New Roman" w:eastAsiaTheme="minorEastAsia" w:hAnsi="Times New Roman"/>
          <w:sz w:val="20"/>
          <w:szCs w:val="20"/>
        </w:rPr>
        <w:t xml:space="preserve"> is a current </w:t>
      </w:r>
      <w:r w:rsidR="00E06B62">
        <w:rPr>
          <w:rFonts w:ascii="Times New Roman" w:eastAsiaTheme="minorEastAsia" w:hAnsi="Times New Roman"/>
          <w:sz w:val="20"/>
          <w:szCs w:val="20"/>
        </w:rPr>
        <w:t xml:space="preserve">relative harvest rate </w:t>
      </w:r>
      <w:r w:rsidRPr="009E10AF">
        <w:rPr>
          <w:rFonts w:ascii="Times New Roman" w:eastAsiaTheme="minorEastAsia" w:hAnsi="Times New Roman"/>
          <w:sz w:val="20"/>
          <w:szCs w:val="20"/>
        </w:rPr>
        <w:t>index value for the West Atlantic area</w:t>
      </w:r>
    </w:p>
    <w:p w14:paraId="4FAE808F"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i/>
          <w:sz w:val="20"/>
          <w:szCs w:val="20"/>
        </w:rPr>
        <w:t>t</w:t>
      </w:r>
      <w:r w:rsidRPr="009E10AF">
        <w:rPr>
          <w:rFonts w:ascii="Times New Roman" w:eastAsiaTheme="minorEastAsia" w:hAnsi="Times New Roman"/>
          <w:sz w:val="20"/>
          <w:szCs w:val="20"/>
        </w:rPr>
        <w:t xml:space="preserve"> = terminal year of current index</w:t>
      </w:r>
    </w:p>
    <w:p w14:paraId="7486D4F9"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i/>
          <w:sz w:val="20"/>
          <w:szCs w:val="20"/>
        </w:rPr>
        <w:t>CPUE</w:t>
      </w:r>
      <w:r w:rsidRPr="009E10AF">
        <w:rPr>
          <w:rFonts w:ascii="Times New Roman" w:eastAsiaTheme="minorEastAsia" w:hAnsi="Times New Roman"/>
          <w:sz w:val="20"/>
          <w:szCs w:val="20"/>
        </w:rPr>
        <w:t xml:space="preserve"> is standardized index values for the stock biomass, divided by the mean of the CPUE time series up to year 2018.   </w:t>
      </w:r>
    </w:p>
    <w:p w14:paraId="73A54B4A"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The ratio of the target to current index (</w:t>
      </w:r>
      <m:oMath>
        <m:r>
          <w:rPr>
            <w:rFonts w:ascii="Cambria Math" w:hAnsi="Cambria Math"/>
            <w:sz w:val="20"/>
            <w:szCs w:val="20"/>
          </w:rPr>
          <m:t>∆</m:t>
        </m:r>
      </m:oMath>
      <w:r w:rsidRPr="009E10AF">
        <w:rPr>
          <w:rFonts w:ascii="Times New Roman" w:eastAsiaTheme="minorEastAsia" w:hAnsi="Times New Roman"/>
          <w:sz w:val="20"/>
          <w:szCs w:val="20"/>
        </w:rPr>
        <w:t>) is then calculated and multiplied by a tuning parameter (</w:t>
      </w:r>
      <m:oMath>
        <m:r>
          <w:rPr>
            <w:rFonts w:ascii="Cambria Math" w:hAnsi="Cambria Math"/>
            <w:sz w:val="20"/>
            <w:szCs w:val="20"/>
          </w:rPr>
          <m:t>α</m:t>
        </m:r>
      </m:oMath>
      <w:r w:rsidRPr="009E10AF">
        <w:rPr>
          <w:rFonts w:ascii="Times New Roman" w:eastAsiaTheme="minorEastAsia" w:hAnsi="Times New Roman"/>
          <w:sz w:val="20"/>
          <w:szCs w:val="20"/>
        </w:rPr>
        <w:t>) of the target index:</w:t>
      </w:r>
    </w:p>
    <w:p w14:paraId="27465962" w14:textId="77777777" w:rsidR="009E10AF" w:rsidRPr="009E10AF" w:rsidRDefault="00801856" w:rsidP="009E10AF">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WATL_i</m:t>
              </m:r>
            </m:sub>
          </m:sSub>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WATL_target </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WATL_current </m:t>
                  </m:r>
                </m:sub>
              </m:sSub>
            </m:den>
          </m:f>
        </m:oMath>
      </m:oMathPara>
    </w:p>
    <w:p w14:paraId="50DFD60C" w14:textId="77777777" w:rsidR="009E10AF" w:rsidRPr="009E10AF" w:rsidRDefault="009E10AF" w:rsidP="009E10AF">
      <w:pPr>
        <w:rPr>
          <w:rFonts w:ascii="Times New Roman" w:eastAsiaTheme="minorEastAsia" w:hAnsi="Times New Roman"/>
          <w:sz w:val="20"/>
          <w:szCs w:val="20"/>
        </w:rPr>
      </w:pPr>
    </w:p>
    <w:p w14:paraId="36237535" w14:textId="0C91405A"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 xml:space="preserve">Two </w:t>
      </w:r>
      <w:proofErr w:type="gramStart"/>
      <w:r w:rsidRPr="009E10AF">
        <w:rPr>
          <w:rFonts w:ascii="Times New Roman" w:eastAsiaTheme="minorEastAsia" w:hAnsi="Times New Roman"/>
          <w:sz w:val="20"/>
          <w:szCs w:val="20"/>
        </w:rPr>
        <w:t>separate</w:t>
      </w:r>
      <w:proofErr w:type="gramEnd"/>
      <w:r w:rsidRPr="009E10AF">
        <w:rPr>
          <w:rFonts w:ascii="Times New Roman" w:eastAsiaTheme="minorEastAsia" w:hAnsi="Times New Roman"/>
          <w:sz w:val="20"/>
          <w:szCs w:val="20"/>
        </w:rPr>
        <w:t xml:space="preserve"> </w:t>
      </w:r>
      <m:oMath>
        <m:r>
          <w:rPr>
            <w:rFonts w:ascii="Cambria Math" w:hAnsi="Cambria Math"/>
            <w:sz w:val="20"/>
            <w:szCs w:val="20"/>
          </w:rPr>
          <m:t>∆</m:t>
        </m:r>
      </m:oMath>
      <w:r w:rsidRPr="009E10AF">
        <w:rPr>
          <w:rFonts w:ascii="Times New Roman" w:eastAsiaTheme="minorEastAsia" w:hAnsi="Times New Roman"/>
          <w:sz w:val="20"/>
          <w:szCs w:val="20"/>
          <w:vertAlign w:val="subscript"/>
        </w:rPr>
        <w:t xml:space="preserve"> </w:t>
      </w:r>
      <w:r w:rsidRPr="009E10AF">
        <w:rPr>
          <w:rFonts w:ascii="Times New Roman" w:eastAsiaTheme="minorEastAsia" w:hAnsi="Times New Roman"/>
          <w:sz w:val="20"/>
          <w:szCs w:val="20"/>
        </w:rPr>
        <w:t>values are calculated using alternative sets of CPUE series (</w:t>
      </w:r>
      <w:proofErr w:type="spellStart"/>
      <w:r w:rsidRPr="009E10AF">
        <w:rPr>
          <w:rFonts w:ascii="Times New Roman" w:eastAsiaTheme="minorEastAsia" w:hAnsi="Times New Roman"/>
          <w:sz w:val="20"/>
          <w:szCs w:val="20"/>
        </w:rPr>
        <w:t>i</w:t>
      </w:r>
      <w:proofErr w:type="spellEnd"/>
      <w:r w:rsidRPr="009E10AF">
        <w:rPr>
          <w:rFonts w:ascii="Times New Roman" w:eastAsiaTheme="minorEastAsia" w:hAnsi="Times New Roman"/>
          <w:sz w:val="20"/>
          <w:szCs w:val="20"/>
        </w:rPr>
        <w:t xml:space="preserve">). The first index uses the larval surveys in the Gulf of Mexico and Mediterranean Sea, and the second set of indices uses the MEXUS LL and JPN LL EATL.   The mean of the two </w:t>
      </w:r>
      <m:oMath>
        <m:r>
          <w:rPr>
            <w:rFonts w:ascii="Cambria Math" w:hAnsi="Cambria Math"/>
            <w:sz w:val="20"/>
            <w:szCs w:val="20"/>
          </w:rPr>
          <m:t xml:space="preserve">∆ </m:t>
        </m:r>
      </m:oMath>
      <w:r w:rsidRPr="009E10AF">
        <w:rPr>
          <w:rFonts w:ascii="Times New Roman" w:eastAsiaTheme="minorEastAsia" w:hAnsi="Times New Roman"/>
          <w:sz w:val="20"/>
          <w:szCs w:val="20"/>
        </w:rPr>
        <w:t xml:space="preserve">values is then calculated to get an overall </w:t>
      </w:r>
      <w:r>
        <w:rPr>
          <w:rFonts w:ascii="Times New Roman" w:eastAsiaTheme="minorEastAsia" w:hAnsi="Times New Roman"/>
          <w:sz w:val="20"/>
          <w:szCs w:val="20"/>
        </w:rPr>
        <w:t>We</w:t>
      </w:r>
      <w:r w:rsidRPr="009E10AF">
        <w:rPr>
          <w:rFonts w:ascii="Times New Roman" w:eastAsiaTheme="minorEastAsia" w:hAnsi="Times New Roman"/>
          <w:sz w:val="20"/>
          <w:szCs w:val="20"/>
        </w:rPr>
        <w:t xml:space="preserve">st </w:t>
      </w:r>
      <w:r>
        <w:rPr>
          <w:rFonts w:ascii="Times New Roman" w:eastAsiaTheme="minorEastAsia" w:hAnsi="Times New Roman"/>
          <w:sz w:val="20"/>
          <w:szCs w:val="20"/>
        </w:rPr>
        <w:t>area</w:t>
      </w:r>
      <w:r w:rsidR="008147CA">
        <w:rPr>
          <w:rFonts w:ascii="Times New Roman" w:eastAsiaTheme="minorEastAsia" w:hAnsi="Times New Roman"/>
          <w:sz w:val="20"/>
          <w:szCs w:val="20"/>
        </w:rPr>
        <w:t xml:space="preserve"> </w:t>
      </w:r>
      <w:r w:rsidRPr="009E10AF">
        <w:rPr>
          <w:rFonts w:ascii="Times New Roman" w:eastAsiaTheme="minorEastAsia" w:hAnsi="Times New Roman"/>
          <w:sz w:val="20"/>
          <w:szCs w:val="20"/>
        </w:rPr>
        <w:t>TAC estimated change.</w:t>
      </w:r>
    </w:p>
    <w:p w14:paraId="09544CD9" w14:textId="77777777" w:rsidR="009E10AF" w:rsidRPr="009E10AF" w:rsidRDefault="009E10AF" w:rsidP="009E10AF">
      <w:pPr>
        <w:rPr>
          <w:rFonts w:ascii="Times New Roman" w:eastAsiaTheme="minorEastAsia" w:hAnsi="Times New Roman"/>
          <w:sz w:val="20"/>
          <w:szCs w:val="20"/>
        </w:rPr>
      </w:pPr>
      <m:oMathPara>
        <m:oMath>
          <m:r>
            <w:rPr>
              <w:rFonts w:ascii="Cambria Math" w:hAnsi="Cambria Math"/>
              <w:sz w:val="20"/>
              <w:szCs w:val="20"/>
            </w:rPr>
            <m:t>West Area new TAC=</m:t>
          </m:r>
          <m:sSub>
            <m:sSubPr>
              <m:ctrlPr>
                <w:rPr>
                  <w:rFonts w:ascii="Cambria Math" w:hAnsi="Cambria Math"/>
                  <w:i/>
                  <w:sz w:val="20"/>
                  <w:szCs w:val="20"/>
                </w:rPr>
              </m:ctrlPr>
            </m:sSubPr>
            <m:e>
              <m:r>
                <w:rPr>
                  <w:rFonts w:ascii="Cambria Math" w:hAnsi="Cambria Math"/>
                  <w:sz w:val="20"/>
                  <w:szCs w:val="20"/>
                </w:rPr>
                <m:t>TAC</m:t>
              </m:r>
            </m:e>
            <m:sub>
              <m:r>
                <w:rPr>
                  <w:rFonts w:ascii="Cambria Math" w:hAnsi="Cambria Math"/>
                  <w:sz w:val="20"/>
                  <w:szCs w:val="20"/>
                </w:rPr>
                <m:t>t-2:t</m:t>
              </m:r>
            </m:sub>
          </m:sSub>
          <m:r>
            <w:rPr>
              <w:rFonts w:ascii="Cambria Math" w:hAnsi="Cambria Math"/>
              <w:sz w:val="20"/>
              <w:szCs w:val="20"/>
            </w:rPr>
            <m:t xml:space="preserve"> ∙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WATL_1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WATL_2</m:t>
                  </m:r>
                </m:sub>
              </m:sSub>
            </m:num>
            <m:den>
              <m:r>
                <w:rPr>
                  <w:rFonts w:ascii="Cambria Math" w:hAnsi="Cambria Math"/>
                  <w:sz w:val="20"/>
                  <w:szCs w:val="20"/>
                </w:rPr>
                <m:t>2</m:t>
              </m:r>
            </m:den>
          </m:f>
        </m:oMath>
      </m:oMathPara>
    </w:p>
    <w:p w14:paraId="59089A19" w14:textId="422D86B9" w:rsidR="009E10AF" w:rsidRDefault="009E10AF" w:rsidP="009E10AF">
      <w:pPr>
        <w:rPr>
          <w:rFonts w:ascii="Times New Roman" w:hAnsi="Times New Roman"/>
          <w:sz w:val="20"/>
          <w:szCs w:val="20"/>
        </w:rPr>
      </w:pPr>
      <w:r w:rsidRPr="009E10AF">
        <w:rPr>
          <w:rFonts w:ascii="Times New Roman" w:hAnsi="Times New Roman"/>
          <w:sz w:val="20"/>
          <w:szCs w:val="20"/>
        </w:rPr>
        <w:t xml:space="preserve">Each TAC is then subject to the constraints of 20% max increase, 30% max decrease, and the phase-in limit of 10% max decrease during the first two implementations </w:t>
      </w:r>
      <w:r w:rsidR="008147CA">
        <w:rPr>
          <w:rFonts w:ascii="Times New Roman" w:hAnsi="Times New Roman"/>
          <w:sz w:val="20"/>
          <w:szCs w:val="20"/>
        </w:rPr>
        <w:t xml:space="preserve">for a </w:t>
      </w:r>
      <w:r w:rsidRPr="009E10AF">
        <w:rPr>
          <w:rFonts w:ascii="Times New Roman" w:hAnsi="Times New Roman"/>
          <w:sz w:val="20"/>
          <w:szCs w:val="20"/>
        </w:rPr>
        <w:t>2-yr cycle</w:t>
      </w:r>
      <w:r w:rsidR="008147CA">
        <w:rPr>
          <w:rFonts w:ascii="Times New Roman" w:hAnsi="Times New Roman"/>
          <w:sz w:val="20"/>
          <w:szCs w:val="20"/>
        </w:rPr>
        <w:t>,</w:t>
      </w:r>
      <w:r>
        <w:rPr>
          <w:rFonts w:ascii="Times New Roman" w:hAnsi="Times New Roman"/>
          <w:sz w:val="20"/>
          <w:szCs w:val="20"/>
        </w:rPr>
        <w:t xml:space="preserve"> or on</w:t>
      </w:r>
      <w:r w:rsidR="008147CA">
        <w:rPr>
          <w:rFonts w:ascii="Times New Roman" w:hAnsi="Times New Roman"/>
          <w:sz w:val="20"/>
          <w:szCs w:val="20"/>
        </w:rPr>
        <w:t>e cycle implementation under the 3 years per cycle scenario</w:t>
      </w:r>
      <w:r w:rsidRPr="009E10AF">
        <w:rPr>
          <w:rFonts w:ascii="Times New Roman" w:hAnsi="Times New Roman"/>
          <w:sz w:val="20"/>
          <w:szCs w:val="20"/>
        </w:rPr>
        <w:t>.</w:t>
      </w:r>
    </w:p>
    <w:p w14:paraId="679631E9" w14:textId="77777777" w:rsidR="008147CA" w:rsidRPr="008147CA" w:rsidRDefault="008147CA" w:rsidP="009E10AF">
      <w:pPr>
        <w:rPr>
          <w:rFonts w:ascii="Times New Roman" w:hAnsi="Times New Roman"/>
          <w:sz w:val="20"/>
          <w:szCs w:val="20"/>
        </w:rPr>
      </w:pPr>
    </w:p>
    <w:p w14:paraId="3A0C970F" w14:textId="51252ADB" w:rsidR="009E10AF" w:rsidRPr="008147CA" w:rsidRDefault="008147CA" w:rsidP="009E10AF">
      <w:pPr>
        <w:rPr>
          <w:rFonts w:ascii="Times New Roman" w:eastAsiaTheme="minorEastAsia" w:hAnsi="Times New Roman"/>
          <w:b/>
          <w:sz w:val="20"/>
          <w:szCs w:val="20"/>
        </w:rPr>
      </w:pPr>
      <w:r w:rsidRPr="008147CA">
        <w:rPr>
          <w:rFonts w:ascii="Times New Roman" w:eastAsiaTheme="minorEastAsia" w:hAnsi="Times New Roman"/>
          <w:b/>
          <w:sz w:val="20"/>
          <w:szCs w:val="20"/>
        </w:rPr>
        <w:t xml:space="preserve">2.2 </w:t>
      </w:r>
      <w:r w:rsidR="009E10AF" w:rsidRPr="008147CA">
        <w:rPr>
          <w:rFonts w:ascii="Times New Roman" w:eastAsiaTheme="minorEastAsia" w:hAnsi="Times New Roman"/>
          <w:b/>
          <w:sz w:val="20"/>
          <w:szCs w:val="20"/>
        </w:rPr>
        <w:t>EAST AREA PROCEDURE</w:t>
      </w:r>
    </w:p>
    <w:p w14:paraId="100BFC75"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Similar to the West Area, a target index value for the East Atlantic area is calculated as the ratio of average catches to an average relative abundance series, but only for the Med stock biomass:</w:t>
      </w:r>
    </w:p>
    <w:p w14:paraId="36E0DE76" w14:textId="77777777" w:rsidR="009E10AF" w:rsidRPr="009E10AF" w:rsidRDefault="00801856" w:rsidP="009E10AF">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EATL_target </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Catch</m:t>
                      </m:r>
                    </m:e>
                  </m:acc>
                </m:e>
                <m:sub>
                  <m:r>
                    <w:rPr>
                      <w:rFonts w:ascii="Cambria Math" w:hAnsi="Cambria Math"/>
                      <w:sz w:val="20"/>
                      <w:szCs w:val="20"/>
                    </w:rPr>
                    <m:t>EATL_2016-2018</m:t>
                  </m:r>
                </m:sub>
              </m:sSub>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CPUE</m:t>
                      </m:r>
                    </m:e>
                  </m:acc>
                </m:e>
                <m:sub>
                  <m:r>
                    <w:rPr>
                      <w:rFonts w:ascii="Cambria Math" w:hAnsi="Cambria Math"/>
                      <w:sz w:val="20"/>
                      <w:szCs w:val="20"/>
                    </w:rPr>
                    <m:t>Med_2016-2018</m:t>
                  </m:r>
                </m:sub>
              </m:sSub>
            </m:den>
          </m:f>
        </m:oMath>
      </m:oMathPara>
    </w:p>
    <w:p w14:paraId="6BC3130E"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where</w:t>
      </w:r>
    </w:p>
    <w:p w14:paraId="35BEF726" w14:textId="77777777" w:rsidR="009E10AF" w:rsidRPr="009E10AF" w:rsidRDefault="009E10AF" w:rsidP="009E10AF">
      <w:pPr>
        <w:rPr>
          <w:rFonts w:ascii="Times New Roman" w:eastAsiaTheme="minorEastAsia" w:hAnsi="Times New Roman"/>
          <w:sz w:val="20"/>
          <w:szCs w:val="20"/>
        </w:rPr>
      </w:pPr>
      <w:proofErr w:type="spellStart"/>
      <w:r w:rsidRPr="009E10AF">
        <w:rPr>
          <w:rFonts w:ascii="Times New Roman" w:eastAsiaTheme="minorEastAsia" w:hAnsi="Times New Roman"/>
          <w:i/>
          <w:sz w:val="20"/>
          <w:szCs w:val="20"/>
        </w:rPr>
        <w:t>I</w:t>
      </w:r>
      <w:r w:rsidRPr="009E10AF">
        <w:rPr>
          <w:rFonts w:ascii="Times New Roman" w:eastAsiaTheme="minorEastAsia" w:hAnsi="Times New Roman"/>
          <w:i/>
          <w:sz w:val="20"/>
          <w:szCs w:val="20"/>
          <w:vertAlign w:val="subscript"/>
        </w:rPr>
        <w:t>EATL_target</w:t>
      </w:r>
      <w:proofErr w:type="spellEnd"/>
      <w:r w:rsidRPr="009E10AF">
        <w:rPr>
          <w:rFonts w:ascii="Times New Roman" w:eastAsiaTheme="minorEastAsia" w:hAnsi="Times New Roman"/>
          <w:sz w:val="20"/>
          <w:szCs w:val="20"/>
        </w:rPr>
        <w:t xml:space="preserve"> is a target relative harvest rate index for the East Atlantic area</w:t>
      </w:r>
    </w:p>
    <w:p w14:paraId="7A1C3867"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i/>
          <w:sz w:val="20"/>
          <w:szCs w:val="20"/>
        </w:rPr>
        <w:t>CPUE</w:t>
      </w:r>
      <w:r w:rsidRPr="009E10AF">
        <w:rPr>
          <w:rFonts w:ascii="Times New Roman" w:eastAsiaTheme="minorEastAsia" w:hAnsi="Times New Roman"/>
          <w:sz w:val="20"/>
          <w:szCs w:val="20"/>
        </w:rPr>
        <w:t xml:space="preserve"> are the standardized index values for the stock biomass, divided by the mean of the CPUE time series up to year 2018.   </w:t>
      </w:r>
    </w:p>
    <w:p w14:paraId="27ACD230"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lastRenderedPageBreak/>
        <w:t>A current index value for the East Atlantic area is calculated as the ratio of average catches to a summed average relative abundance for the East stock:</w:t>
      </w:r>
    </w:p>
    <w:p w14:paraId="2C083E33" w14:textId="77777777" w:rsidR="009E10AF" w:rsidRPr="009E10AF" w:rsidRDefault="00801856" w:rsidP="009E10AF">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EATL_current </m:t>
              </m:r>
            </m:sub>
          </m:sSub>
          <m:r>
            <w:rPr>
              <w:rFonts w:ascii="Cambria Math" w:hAnsi="Cambria Math"/>
              <w:sz w:val="20"/>
              <w:szCs w:val="20"/>
            </w:rPr>
            <m:t xml:space="preserve">= </m:t>
          </m:r>
          <m:f>
            <m:fPr>
              <m:ctrlPr>
                <w:rPr>
                  <w:rFonts w:ascii="Cambria Math" w:hAnsi="Cambria Math"/>
                  <w:i/>
                  <w:sz w:val="20"/>
                  <w:szCs w:val="20"/>
                </w:rPr>
              </m:ctrlPr>
            </m:fPr>
            <m:num>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Catch</m:t>
                      </m:r>
                    </m:e>
                  </m:acc>
                </m:e>
                <m:sub>
                  <m:r>
                    <w:rPr>
                      <w:rFonts w:ascii="Cambria Math" w:hAnsi="Cambria Math"/>
                      <w:sz w:val="20"/>
                      <w:szCs w:val="20"/>
                    </w:rPr>
                    <m:t>EAT</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t-2:t</m:t>
                      </m:r>
                    </m:sub>
                  </m:sSub>
                </m:sub>
              </m:sSub>
            </m:num>
            <m:den>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CPUE</m:t>
                      </m:r>
                    </m:e>
                  </m:acc>
                </m:e>
                <m:sub>
                  <m:r>
                    <w:rPr>
                      <w:rFonts w:ascii="Cambria Math" w:hAnsi="Cambria Math"/>
                      <w:sz w:val="20"/>
                      <w:szCs w:val="20"/>
                    </w:rPr>
                    <m:t>Med_t-2:t</m:t>
                  </m:r>
                </m:sub>
              </m:sSub>
            </m:den>
          </m:f>
        </m:oMath>
      </m:oMathPara>
    </w:p>
    <w:p w14:paraId="5346FE4C"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where</w:t>
      </w:r>
    </w:p>
    <w:p w14:paraId="6596864B" w14:textId="4741CE4C" w:rsidR="009E10AF" w:rsidRPr="009E10AF" w:rsidRDefault="009E10AF" w:rsidP="009E10AF">
      <w:pPr>
        <w:rPr>
          <w:rFonts w:ascii="Times New Roman" w:eastAsiaTheme="minorEastAsia" w:hAnsi="Times New Roman"/>
          <w:sz w:val="20"/>
          <w:szCs w:val="20"/>
        </w:rPr>
      </w:pPr>
      <w:proofErr w:type="spellStart"/>
      <w:r w:rsidRPr="009E10AF">
        <w:rPr>
          <w:rFonts w:ascii="Times New Roman" w:eastAsiaTheme="minorEastAsia" w:hAnsi="Times New Roman"/>
          <w:i/>
          <w:sz w:val="20"/>
          <w:szCs w:val="20"/>
        </w:rPr>
        <w:t>I</w:t>
      </w:r>
      <w:r w:rsidRPr="009E10AF">
        <w:rPr>
          <w:rFonts w:ascii="Times New Roman" w:eastAsiaTheme="minorEastAsia" w:hAnsi="Times New Roman"/>
          <w:i/>
          <w:sz w:val="20"/>
          <w:szCs w:val="20"/>
          <w:vertAlign w:val="subscript"/>
        </w:rPr>
        <w:t>EATL_current</w:t>
      </w:r>
      <w:proofErr w:type="spellEnd"/>
      <w:r w:rsidRPr="009E10AF">
        <w:rPr>
          <w:rFonts w:ascii="Times New Roman" w:eastAsiaTheme="minorEastAsia" w:hAnsi="Times New Roman"/>
          <w:sz w:val="20"/>
          <w:szCs w:val="20"/>
        </w:rPr>
        <w:t xml:space="preserve"> is a current </w:t>
      </w:r>
      <w:r w:rsidR="00727C9B">
        <w:rPr>
          <w:rFonts w:ascii="Times New Roman" w:eastAsiaTheme="minorEastAsia" w:hAnsi="Times New Roman"/>
          <w:sz w:val="20"/>
          <w:szCs w:val="20"/>
        </w:rPr>
        <w:t xml:space="preserve">relative harvest rate </w:t>
      </w:r>
      <w:r w:rsidRPr="009E10AF">
        <w:rPr>
          <w:rFonts w:ascii="Times New Roman" w:eastAsiaTheme="minorEastAsia" w:hAnsi="Times New Roman"/>
          <w:sz w:val="20"/>
          <w:szCs w:val="20"/>
        </w:rPr>
        <w:t>index base value for the East Atlantic area</w:t>
      </w:r>
    </w:p>
    <w:p w14:paraId="5AAADF89"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i/>
          <w:sz w:val="20"/>
          <w:szCs w:val="20"/>
        </w:rPr>
        <w:t>t</w:t>
      </w:r>
      <w:r w:rsidRPr="009E10AF">
        <w:rPr>
          <w:rFonts w:ascii="Times New Roman" w:eastAsiaTheme="minorEastAsia" w:hAnsi="Times New Roman"/>
          <w:sz w:val="20"/>
          <w:szCs w:val="20"/>
        </w:rPr>
        <w:t xml:space="preserve"> = terminal year of current index</w:t>
      </w:r>
    </w:p>
    <w:p w14:paraId="684E6103"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i/>
          <w:sz w:val="20"/>
          <w:szCs w:val="20"/>
        </w:rPr>
        <w:t>CPUE</w:t>
      </w:r>
      <w:r w:rsidRPr="009E10AF">
        <w:rPr>
          <w:rFonts w:ascii="Times New Roman" w:eastAsiaTheme="minorEastAsia" w:hAnsi="Times New Roman"/>
          <w:sz w:val="20"/>
          <w:szCs w:val="20"/>
        </w:rPr>
        <w:t xml:space="preserve"> is standardized index values for the Med stock biomass, divided by the mean of the CPUE time series up to year 2018.   </w:t>
      </w:r>
    </w:p>
    <w:p w14:paraId="21EC8C8E"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The ratio of the target to current index (</w:t>
      </w:r>
      <m:oMath>
        <m:r>
          <w:rPr>
            <w:rFonts w:ascii="Cambria Math" w:hAnsi="Cambria Math"/>
            <w:sz w:val="20"/>
            <w:szCs w:val="20"/>
          </w:rPr>
          <m:t>∆</m:t>
        </m:r>
      </m:oMath>
      <w:r w:rsidRPr="009E10AF">
        <w:rPr>
          <w:rFonts w:ascii="Times New Roman" w:eastAsiaTheme="minorEastAsia" w:hAnsi="Times New Roman"/>
          <w:sz w:val="20"/>
          <w:szCs w:val="20"/>
        </w:rPr>
        <w:t>) is then calculated and multiplied by a tuning parameter (</w:t>
      </w:r>
      <m:oMath>
        <m:r>
          <w:rPr>
            <w:rFonts w:ascii="Cambria Math" w:hAnsi="Cambria Math"/>
            <w:sz w:val="20"/>
            <w:szCs w:val="20"/>
          </w:rPr>
          <m:t>β</m:t>
        </m:r>
      </m:oMath>
      <w:r w:rsidRPr="009E10AF">
        <w:rPr>
          <w:rFonts w:ascii="Times New Roman" w:eastAsiaTheme="minorEastAsia" w:hAnsi="Times New Roman"/>
          <w:sz w:val="20"/>
          <w:szCs w:val="20"/>
        </w:rPr>
        <w:t>) of the target index:</w:t>
      </w:r>
    </w:p>
    <w:p w14:paraId="0AD8DC9C" w14:textId="77777777" w:rsidR="009E10AF" w:rsidRPr="009E10AF" w:rsidRDefault="00801856" w:rsidP="009E10AF">
      <w:pPr>
        <w:rPr>
          <w:rFonts w:ascii="Times New Roman" w:eastAsiaTheme="minorEastAsia"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EATL_i</m:t>
              </m:r>
            </m:sub>
          </m:sSub>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β∙</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EATL_target </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EATL_current </m:t>
                  </m:r>
                </m:sub>
              </m:sSub>
            </m:den>
          </m:f>
        </m:oMath>
      </m:oMathPara>
    </w:p>
    <w:p w14:paraId="3C9408EA" w14:textId="77777777" w:rsidR="009E10AF" w:rsidRPr="009E10AF" w:rsidRDefault="009E10AF" w:rsidP="009E10AF">
      <w:pPr>
        <w:rPr>
          <w:rFonts w:ascii="Times New Roman" w:eastAsiaTheme="minorEastAsia" w:hAnsi="Times New Roman"/>
          <w:sz w:val="20"/>
          <w:szCs w:val="20"/>
        </w:rPr>
      </w:pPr>
    </w:p>
    <w:p w14:paraId="1626D459" w14:textId="77777777" w:rsidR="009E10AF" w:rsidRPr="009E10AF" w:rsidRDefault="009E10AF" w:rsidP="009E10AF">
      <w:pPr>
        <w:rPr>
          <w:rFonts w:ascii="Times New Roman" w:eastAsiaTheme="minorEastAsia" w:hAnsi="Times New Roman"/>
          <w:sz w:val="20"/>
          <w:szCs w:val="20"/>
        </w:rPr>
      </w:pPr>
      <w:r w:rsidRPr="009E10AF">
        <w:rPr>
          <w:rFonts w:ascii="Times New Roman" w:eastAsiaTheme="minorEastAsia" w:hAnsi="Times New Roman"/>
          <w:sz w:val="20"/>
          <w:szCs w:val="20"/>
        </w:rPr>
        <w:t xml:space="preserve">Two </w:t>
      </w:r>
      <w:proofErr w:type="gramStart"/>
      <w:r w:rsidRPr="009E10AF">
        <w:rPr>
          <w:rFonts w:ascii="Times New Roman" w:eastAsiaTheme="minorEastAsia" w:hAnsi="Times New Roman"/>
          <w:sz w:val="20"/>
          <w:szCs w:val="20"/>
        </w:rPr>
        <w:t>separate</w:t>
      </w:r>
      <w:proofErr w:type="gramEnd"/>
      <w:r w:rsidRPr="009E10AF">
        <w:rPr>
          <w:rFonts w:ascii="Times New Roman" w:eastAsiaTheme="minorEastAsia" w:hAnsi="Times New Roman"/>
          <w:sz w:val="20"/>
          <w:szCs w:val="20"/>
        </w:rPr>
        <w:t xml:space="preserve"> </w:t>
      </w:r>
      <m:oMath>
        <m:r>
          <w:rPr>
            <w:rFonts w:ascii="Cambria Math" w:hAnsi="Cambria Math"/>
            <w:sz w:val="20"/>
            <w:szCs w:val="20"/>
          </w:rPr>
          <m:t>∆</m:t>
        </m:r>
      </m:oMath>
      <w:r w:rsidRPr="009E10AF">
        <w:rPr>
          <w:rFonts w:ascii="Times New Roman" w:eastAsiaTheme="minorEastAsia" w:hAnsi="Times New Roman"/>
          <w:sz w:val="20"/>
          <w:szCs w:val="20"/>
          <w:vertAlign w:val="subscript"/>
        </w:rPr>
        <w:t xml:space="preserve"> </w:t>
      </w:r>
      <w:r w:rsidRPr="009E10AF">
        <w:rPr>
          <w:rFonts w:ascii="Times New Roman" w:eastAsiaTheme="minorEastAsia" w:hAnsi="Times New Roman"/>
          <w:sz w:val="20"/>
          <w:szCs w:val="20"/>
        </w:rPr>
        <w:t>values are calculated using alternative CPUE series (</w:t>
      </w:r>
      <w:proofErr w:type="spellStart"/>
      <w:r w:rsidRPr="009E10AF">
        <w:rPr>
          <w:rFonts w:ascii="Times New Roman" w:eastAsiaTheme="minorEastAsia" w:hAnsi="Times New Roman"/>
          <w:sz w:val="20"/>
          <w:szCs w:val="20"/>
        </w:rPr>
        <w:t>i</w:t>
      </w:r>
      <w:proofErr w:type="spellEnd"/>
      <w:r w:rsidRPr="009E10AF">
        <w:rPr>
          <w:rFonts w:ascii="Times New Roman" w:eastAsiaTheme="minorEastAsia" w:hAnsi="Times New Roman"/>
          <w:sz w:val="20"/>
          <w:szCs w:val="20"/>
        </w:rPr>
        <w:t xml:space="preserve">). The first index uses the larval survey in the Mediterranean Sea, and the second index uses the JPN LL EATL.   The mean of the two </w:t>
      </w:r>
      <m:oMath>
        <m:r>
          <w:rPr>
            <w:rFonts w:ascii="Cambria Math" w:hAnsi="Cambria Math"/>
            <w:sz w:val="20"/>
            <w:szCs w:val="20"/>
          </w:rPr>
          <m:t xml:space="preserve">∆ </m:t>
        </m:r>
      </m:oMath>
      <w:r w:rsidRPr="009E10AF">
        <w:rPr>
          <w:rFonts w:ascii="Times New Roman" w:eastAsiaTheme="minorEastAsia" w:hAnsi="Times New Roman"/>
          <w:sz w:val="20"/>
          <w:szCs w:val="20"/>
        </w:rPr>
        <w:t>values is then calculated to get an overall East TAC estimated change.</w:t>
      </w:r>
    </w:p>
    <w:p w14:paraId="6AAD1DEA" w14:textId="77777777" w:rsidR="009E10AF" w:rsidRPr="009E10AF" w:rsidRDefault="009E10AF" w:rsidP="009E10AF">
      <w:pPr>
        <w:rPr>
          <w:rFonts w:ascii="Times New Roman" w:eastAsiaTheme="minorEastAsia" w:hAnsi="Times New Roman"/>
          <w:sz w:val="20"/>
          <w:szCs w:val="20"/>
        </w:rPr>
      </w:pPr>
      <m:oMathPara>
        <m:oMath>
          <m:r>
            <w:rPr>
              <w:rFonts w:ascii="Cambria Math" w:hAnsi="Cambria Math"/>
              <w:sz w:val="20"/>
              <w:szCs w:val="20"/>
            </w:rPr>
            <m:t>East Area new TAC=</m:t>
          </m:r>
          <m:sSub>
            <m:sSubPr>
              <m:ctrlPr>
                <w:rPr>
                  <w:rFonts w:ascii="Cambria Math" w:hAnsi="Cambria Math"/>
                  <w:i/>
                  <w:sz w:val="20"/>
                  <w:szCs w:val="20"/>
                </w:rPr>
              </m:ctrlPr>
            </m:sSubPr>
            <m:e>
              <m:r>
                <w:rPr>
                  <w:rFonts w:ascii="Cambria Math" w:hAnsi="Cambria Math"/>
                  <w:sz w:val="20"/>
                  <w:szCs w:val="20"/>
                </w:rPr>
                <m:t>TAC</m:t>
              </m:r>
            </m:e>
            <m:sub>
              <m:r>
                <w:rPr>
                  <w:rFonts w:ascii="Cambria Math" w:hAnsi="Cambria Math"/>
                  <w:sz w:val="20"/>
                  <w:szCs w:val="20"/>
                </w:rPr>
                <m:t>t-2:t</m:t>
              </m:r>
            </m:sub>
          </m:sSub>
          <m:r>
            <w:rPr>
              <w:rFonts w:ascii="Cambria Math" w:hAnsi="Cambria Math"/>
              <w:sz w:val="20"/>
              <w:szCs w:val="20"/>
            </w:rPr>
            <m:t xml:space="preserve"> ∙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EATL_1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EATL_2</m:t>
                  </m:r>
                </m:sub>
              </m:sSub>
            </m:num>
            <m:den>
              <m:r>
                <w:rPr>
                  <w:rFonts w:ascii="Cambria Math" w:hAnsi="Cambria Math"/>
                  <w:sz w:val="20"/>
                  <w:szCs w:val="20"/>
                </w:rPr>
                <m:t>2</m:t>
              </m:r>
            </m:den>
          </m:f>
        </m:oMath>
      </m:oMathPara>
    </w:p>
    <w:p w14:paraId="0E619412" w14:textId="77777777" w:rsidR="009E10AF" w:rsidRPr="009E10AF" w:rsidRDefault="009E10AF" w:rsidP="009E10AF">
      <w:pPr>
        <w:rPr>
          <w:rFonts w:ascii="Times New Roman" w:eastAsiaTheme="minorEastAsia" w:hAnsi="Times New Roman"/>
          <w:sz w:val="20"/>
          <w:szCs w:val="20"/>
        </w:rPr>
      </w:pPr>
    </w:p>
    <w:p w14:paraId="507A25E5" w14:textId="5985F6D7" w:rsidR="009E10AF" w:rsidRDefault="009E10AF" w:rsidP="009E10AF">
      <w:pPr>
        <w:rPr>
          <w:rFonts w:ascii="Times New Roman" w:hAnsi="Times New Roman"/>
          <w:sz w:val="20"/>
          <w:szCs w:val="20"/>
        </w:rPr>
      </w:pPr>
      <w:r w:rsidRPr="009E10AF">
        <w:rPr>
          <w:rFonts w:ascii="Times New Roman" w:hAnsi="Times New Roman"/>
          <w:sz w:val="20"/>
          <w:szCs w:val="20"/>
        </w:rPr>
        <w:t>Each TAC is then subject to the constraints of 20% max increase, 30% max decrease, and the phase-in limit of 10% max decrease during the first two implementations (2-yr cycle).</w:t>
      </w:r>
    </w:p>
    <w:p w14:paraId="035B7040" w14:textId="65EDE811" w:rsidR="009D12B4" w:rsidRDefault="009D12B4">
      <w:pPr>
        <w:spacing w:after="0" w:line="240" w:lineRule="auto"/>
        <w:rPr>
          <w:rFonts w:ascii="Times New Roman" w:hAnsi="Times New Roman"/>
          <w:sz w:val="20"/>
          <w:szCs w:val="20"/>
        </w:rPr>
      </w:pPr>
      <w:r>
        <w:rPr>
          <w:rFonts w:ascii="Times New Roman" w:hAnsi="Times New Roman"/>
          <w:sz w:val="20"/>
          <w:szCs w:val="20"/>
        </w:rPr>
        <w:br w:type="page"/>
      </w:r>
    </w:p>
    <w:p w14:paraId="72ECC371" w14:textId="19F6B11A" w:rsidR="009D12B4" w:rsidRDefault="009D12B4" w:rsidP="009E10AF">
      <w:pPr>
        <w:rPr>
          <w:rFonts w:ascii="Times New Roman" w:hAnsi="Times New Roman"/>
          <w:sz w:val="20"/>
          <w:szCs w:val="20"/>
        </w:rPr>
      </w:pPr>
      <w:bookmarkStart w:id="0" w:name="_GoBack"/>
      <w:r w:rsidRPr="009D12B4">
        <w:rPr>
          <w:rFonts w:ascii="Times New Roman" w:hAnsi="Times New Roman"/>
          <w:b/>
          <w:sz w:val="20"/>
          <w:szCs w:val="20"/>
        </w:rPr>
        <w:lastRenderedPageBreak/>
        <w:t>APPENDIX A</w:t>
      </w:r>
      <w:bookmarkEnd w:id="0"/>
      <w:r>
        <w:rPr>
          <w:rFonts w:ascii="Times New Roman" w:hAnsi="Times New Roman"/>
          <w:sz w:val="20"/>
          <w:szCs w:val="20"/>
        </w:rPr>
        <w:t>.  R code for the LW CMP with a 2-yr management cycle.</w:t>
      </w:r>
    </w:p>
    <w:p w14:paraId="63E90E48" w14:textId="77777777" w:rsidR="009D12B4" w:rsidRPr="009D12B4" w:rsidRDefault="009D12B4" w:rsidP="009D12B4">
      <w:pPr>
        <w:spacing w:after="0" w:line="240" w:lineRule="auto"/>
        <w:rPr>
          <w:rFonts w:ascii="Times New Roman" w:hAnsi="Times New Roman"/>
          <w:sz w:val="20"/>
          <w:szCs w:val="20"/>
        </w:rPr>
      </w:pPr>
      <w:proofErr w:type="spellStart"/>
      <w:r w:rsidRPr="009D12B4">
        <w:rPr>
          <w:rFonts w:ascii="Times New Roman" w:hAnsi="Times New Roman"/>
          <w:sz w:val="20"/>
          <w:szCs w:val="20"/>
        </w:rPr>
        <w:t>ConstU_W</w:t>
      </w:r>
      <w:proofErr w:type="spellEnd"/>
      <w:r w:rsidRPr="009D12B4">
        <w:rPr>
          <w:rFonts w:ascii="Times New Roman" w:hAnsi="Times New Roman"/>
          <w:sz w:val="20"/>
          <w:szCs w:val="20"/>
        </w:rPr>
        <w:t xml:space="preserve"> &lt;- function(</w:t>
      </w:r>
      <w:proofErr w:type="gramStart"/>
      <w:r w:rsidRPr="009D12B4">
        <w:rPr>
          <w:rFonts w:ascii="Times New Roman" w:hAnsi="Times New Roman"/>
          <w:sz w:val="20"/>
          <w:szCs w:val="20"/>
        </w:rPr>
        <w:t>x,dset</w:t>
      </w:r>
      <w:proofErr w:type="gramEnd"/>
      <w:r w:rsidRPr="009D12B4">
        <w:rPr>
          <w:rFonts w:ascii="Times New Roman" w:hAnsi="Times New Roman"/>
          <w:sz w:val="20"/>
          <w:szCs w:val="20"/>
        </w:rPr>
        <w:t>,IndexE=c(2,6),IndexW=c(3,14),yrs4mean=3,target_yr=54,deltaW_up=0.2,deltaW_down=0.3,multiplierW=tune_parW,Method='mean')</w:t>
      </w:r>
    </w:p>
    <w:p w14:paraId="7ED5D71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6CA88B2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phase_down</w:t>
      </w:r>
      <w:proofErr w:type="spellEnd"/>
      <w:r w:rsidRPr="009D12B4">
        <w:rPr>
          <w:rFonts w:ascii="Times New Roman" w:hAnsi="Times New Roman"/>
          <w:sz w:val="20"/>
          <w:szCs w:val="20"/>
        </w:rPr>
        <w:t>=0.1</w:t>
      </w:r>
    </w:p>
    <w:p w14:paraId="18EE56D2" w14:textId="77777777" w:rsidR="009D12B4" w:rsidRPr="009D12B4" w:rsidRDefault="009D12B4" w:rsidP="009D12B4">
      <w:pPr>
        <w:spacing w:after="0" w:line="240" w:lineRule="auto"/>
        <w:rPr>
          <w:rFonts w:ascii="Times New Roman" w:hAnsi="Times New Roman"/>
          <w:sz w:val="20"/>
          <w:szCs w:val="20"/>
        </w:rPr>
      </w:pPr>
    </w:p>
    <w:p w14:paraId="0A85641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target_yrs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target_yr</w:t>
      </w:r>
      <w:proofErr w:type="spellEnd"/>
      <w:r w:rsidRPr="009D12B4">
        <w:rPr>
          <w:rFonts w:ascii="Times New Roman" w:hAnsi="Times New Roman"/>
          <w:sz w:val="20"/>
          <w:szCs w:val="20"/>
        </w:rPr>
        <w:t>-(yrs4mean-1):0</w:t>
      </w:r>
    </w:p>
    <w:p w14:paraId="3A5CDFB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 xml:space="preserve">Ny =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
    <w:p w14:paraId="17FEDC14" w14:textId="77777777" w:rsidR="009D12B4" w:rsidRPr="009D12B4" w:rsidRDefault="009D12B4" w:rsidP="009D12B4">
      <w:pPr>
        <w:spacing w:after="0" w:line="240" w:lineRule="auto"/>
        <w:rPr>
          <w:rFonts w:ascii="Times New Roman" w:hAnsi="Times New Roman"/>
          <w:sz w:val="20"/>
          <w:szCs w:val="20"/>
        </w:rPr>
      </w:pPr>
    </w:p>
    <w:p w14:paraId="274D9D0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gramStart"/>
      <w:r w:rsidRPr="009D12B4">
        <w:rPr>
          <w:rFonts w:ascii="Times New Roman" w:hAnsi="Times New Roman"/>
          <w:sz w:val="20"/>
          <w:szCs w:val="20"/>
        </w:rPr>
        <w:t>matrix(</w:t>
      </w:r>
      <w:proofErr w:type="spellStart"/>
      <w:proofErr w:type="gramEnd"/>
      <w:r w:rsidRPr="009D12B4">
        <w:rPr>
          <w:rFonts w:ascii="Times New Roman" w:hAnsi="Times New Roman"/>
          <w:sz w:val="20"/>
          <w:szCs w:val="20"/>
        </w:rPr>
        <w:t>nrow</w:t>
      </w:r>
      <w:proofErr w:type="spellEnd"/>
      <w:r w:rsidRPr="009D12B4">
        <w:rPr>
          <w:rFonts w:ascii="Times New Roman" w:hAnsi="Times New Roman"/>
          <w:sz w:val="20"/>
          <w:szCs w:val="20"/>
        </w:rPr>
        <w:t xml:space="preserve">=1,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=length(</w:t>
      </w:r>
      <w:proofErr w:type="spellStart"/>
      <w:r w:rsidRPr="009D12B4">
        <w:rPr>
          <w:rFonts w:ascii="Times New Roman" w:hAnsi="Times New Roman"/>
          <w:sz w:val="20"/>
          <w:szCs w:val="20"/>
        </w:rPr>
        <w:t>IndexE</w:t>
      </w:r>
      <w:proofErr w:type="spellEnd"/>
      <w:r w:rsidRPr="009D12B4">
        <w:rPr>
          <w:rFonts w:ascii="Times New Roman" w:hAnsi="Times New Roman"/>
          <w:sz w:val="20"/>
          <w:szCs w:val="20"/>
        </w:rPr>
        <w:t>))</w:t>
      </w:r>
    </w:p>
    <w:p w14:paraId="678D93A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gramStart"/>
      <w:r w:rsidRPr="009D12B4">
        <w:rPr>
          <w:rFonts w:ascii="Times New Roman" w:hAnsi="Times New Roman"/>
          <w:sz w:val="20"/>
          <w:szCs w:val="20"/>
        </w:rPr>
        <w:t>for(</w:t>
      </w:r>
      <w:proofErr w:type="spellStart"/>
      <w:proofErr w:type="gramEnd"/>
      <w:r w:rsidRPr="009D12B4">
        <w:rPr>
          <w:rFonts w:ascii="Times New Roman" w:hAnsi="Times New Roman"/>
          <w:sz w:val="20"/>
          <w:szCs w:val="20"/>
        </w:rPr>
        <w:t>i</w:t>
      </w:r>
      <w:proofErr w:type="spellEnd"/>
      <w:r w:rsidRPr="009D12B4">
        <w:rPr>
          <w:rFonts w:ascii="Times New Roman" w:hAnsi="Times New Roman"/>
          <w:sz w:val="20"/>
          <w:szCs w:val="20"/>
        </w:rPr>
        <w:t xml:space="preserve"> in 1:length(</w:t>
      </w:r>
      <w:proofErr w:type="spellStart"/>
      <w:r w:rsidRPr="009D12B4">
        <w:rPr>
          <w:rFonts w:ascii="Times New Roman" w:hAnsi="Times New Roman"/>
          <w:sz w:val="20"/>
          <w:szCs w:val="20"/>
        </w:rPr>
        <w:t>IndexW</w:t>
      </w:r>
      <w:proofErr w:type="spellEnd"/>
      <w:r w:rsidRPr="009D12B4">
        <w:rPr>
          <w:rFonts w:ascii="Times New Roman" w:hAnsi="Times New Roman"/>
          <w:sz w:val="20"/>
          <w:szCs w:val="20"/>
        </w:rPr>
        <w:t>))</w:t>
      </w:r>
    </w:p>
    <w:p w14:paraId="3D66F29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317490A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targetI=mean(dset$Iobs[</w:t>
      </w:r>
      <w:proofErr w:type="gramStart"/>
      <w:r w:rsidRPr="009D12B4">
        <w:rPr>
          <w:rFonts w:ascii="Times New Roman" w:hAnsi="Times New Roman"/>
          <w:sz w:val="20"/>
          <w:szCs w:val="20"/>
        </w:rPr>
        <w:t>x,IndexW</w:t>
      </w:r>
      <w:proofErr w:type="gramEnd"/>
      <w:r w:rsidRPr="009D12B4">
        <w:rPr>
          <w:rFonts w:ascii="Times New Roman" w:hAnsi="Times New Roman"/>
          <w:sz w:val="20"/>
          <w:szCs w:val="20"/>
        </w:rPr>
        <w:t>[i],target_yrs],na.rm=TRUE)/mean(dset$Iobs[x,IndexW[i],1:target_yr],na.rm=TRUE)+</w:t>
      </w:r>
    </w:p>
    <w:p w14:paraId="5FDE005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[i],target_yrs],na.rm=TRUE)/mean(dset$Iobs[x,IndexE[i],1:target_yr],na.rm=TRUE)</w:t>
      </w:r>
    </w:p>
    <w:p w14:paraId="62BF700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x,target</w:t>
      </w:r>
      <w:proofErr w:type="gramEnd"/>
      <w:r w:rsidRPr="009D12B4">
        <w:rPr>
          <w:rFonts w:ascii="Times New Roman" w:hAnsi="Times New Roman"/>
          <w:sz w:val="20"/>
          <w:szCs w:val="20"/>
        </w:rPr>
        <w:t>_yrs</w:t>
      </w:r>
      <w:proofErr w:type="spellEnd"/>
      <w:r w:rsidRPr="009D12B4">
        <w:rPr>
          <w:rFonts w:ascii="Times New Roman" w:hAnsi="Times New Roman"/>
          <w:sz w:val="20"/>
          <w:szCs w:val="20"/>
        </w:rPr>
        <w:t>],na.rm=TRUE)</w:t>
      </w:r>
    </w:p>
    <w:p w14:paraId="653AA53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multiplierW</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targetI</w:t>
      </w:r>
      <w:proofErr w:type="spellEnd"/>
    </w:p>
    <w:p w14:paraId="15E24BC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=dim(</w:t>
      </w:r>
      <w:proofErr w:type="spellStart"/>
      <w:r w:rsidRPr="009D12B4">
        <w:rPr>
          <w:rFonts w:ascii="Times New Roman" w:hAnsi="Times New Roman"/>
          <w:sz w:val="20"/>
          <w:szCs w:val="20"/>
        </w:rPr>
        <w:t>dset$</w:t>
      </w:r>
      <w:proofErr w:type="gramStart"/>
      <w:r w:rsidRPr="009D12B4">
        <w:rPr>
          <w:rFonts w:ascii="Times New Roman" w:hAnsi="Times New Roman"/>
          <w:sz w:val="20"/>
          <w:szCs w:val="20"/>
        </w:rPr>
        <w:t>Iobs</w:t>
      </w:r>
      <w:proofErr w:type="spellEnd"/>
      <w:r w:rsidRPr="009D12B4">
        <w:rPr>
          <w:rFonts w:ascii="Times New Roman" w:hAnsi="Times New Roman"/>
          <w:sz w:val="20"/>
          <w:szCs w:val="20"/>
        </w:rPr>
        <w:t>)[</w:t>
      </w:r>
      <w:proofErr w:type="gramEnd"/>
      <w:r w:rsidRPr="009D12B4">
        <w:rPr>
          <w:rFonts w:ascii="Times New Roman" w:hAnsi="Times New Roman"/>
          <w:sz w:val="20"/>
          <w:szCs w:val="20"/>
        </w:rPr>
        <w:t>3]</w:t>
      </w:r>
    </w:p>
    <w:p w14:paraId="2581449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datayrs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-(yrs4mean-1):0</w:t>
      </w:r>
    </w:p>
    <w:p w14:paraId="6B30488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curI=mean(dset$Iobs[</w:t>
      </w:r>
      <w:proofErr w:type="gramStart"/>
      <w:r w:rsidRPr="009D12B4">
        <w:rPr>
          <w:rFonts w:ascii="Times New Roman" w:hAnsi="Times New Roman"/>
          <w:sz w:val="20"/>
          <w:szCs w:val="20"/>
        </w:rPr>
        <w:t>x,IndexW</w:t>
      </w:r>
      <w:proofErr w:type="gramEnd"/>
      <w:r w:rsidRPr="009D12B4">
        <w:rPr>
          <w:rFonts w:ascii="Times New Roman" w:hAnsi="Times New Roman"/>
          <w:sz w:val="20"/>
          <w:szCs w:val="20"/>
        </w:rPr>
        <w:t>[i],datayrs],na.rm=TRUE)/mean(dset$Iobs[x,IndexW[i],1:target_yr],na.rm=TRUE)+</w:t>
      </w:r>
    </w:p>
    <w:p w14:paraId="365AC1A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[i],datayrs],na.rm=TRUE)/mean(dset$Iobs[x,IndexE[i],1:target_yr],na.rm=TRUE)</w:t>
      </w:r>
    </w:p>
    <w:p w14:paraId="52C2F0A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x,datayrs</w:t>
      </w:r>
      <w:proofErr w:type="spellEnd"/>
      <w:proofErr w:type="gramEnd"/>
      <w:r w:rsidRPr="009D12B4">
        <w:rPr>
          <w:rFonts w:ascii="Times New Roman" w:hAnsi="Times New Roman"/>
          <w:sz w:val="20"/>
          <w:szCs w:val="20"/>
        </w:rPr>
        <w:t>],na.rm=TRUE)</w:t>
      </w:r>
    </w:p>
    <w:p w14:paraId="1B9785E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curI</w:t>
      </w:r>
      <w:proofErr w:type="spellEnd"/>
      <w:r w:rsidRPr="009D12B4">
        <w:rPr>
          <w:rFonts w:ascii="Times New Roman" w:hAnsi="Times New Roman"/>
          <w:sz w:val="20"/>
          <w:szCs w:val="20"/>
        </w:rPr>
        <w:t>)</w:t>
      </w:r>
    </w:p>
    <w:p w14:paraId="1EF9723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spellStart"/>
      <w:r w:rsidRPr="009D12B4">
        <w:rPr>
          <w:rFonts w:ascii="Times New Roman" w:hAnsi="Times New Roman"/>
          <w:sz w:val="20"/>
          <w:szCs w:val="20"/>
        </w:rPr>
        <w:t>i</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curU</w:t>
      </w:r>
      <w:proofErr w:type="spellEnd"/>
    </w:p>
    <w:p w14:paraId="62A0A79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484B0BE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=apply(delta_ratios,</w:t>
      </w:r>
      <w:proofErr w:type="gramStart"/>
      <w:r w:rsidRPr="009D12B4">
        <w:rPr>
          <w:rFonts w:ascii="Times New Roman" w:hAnsi="Times New Roman"/>
          <w:sz w:val="20"/>
          <w:szCs w:val="20"/>
        </w:rPr>
        <w:t>1,FUN</w:t>
      </w:r>
      <w:proofErr w:type="gramEnd"/>
      <w:r w:rsidRPr="009D12B4">
        <w:rPr>
          <w:rFonts w:ascii="Times New Roman" w:hAnsi="Times New Roman"/>
          <w:sz w:val="20"/>
          <w:szCs w:val="20"/>
        </w:rPr>
        <w:t>=Method)</w:t>
      </w:r>
    </w:p>
    <w:p w14:paraId="0213620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 xml:space="preserve"> = </w:t>
      </w:r>
      <w:proofErr w:type="spellStart"/>
      <w:r w:rsidRPr="009D12B4">
        <w:rPr>
          <w:rFonts w:ascii="Times New Roman" w:hAnsi="Times New Roman"/>
          <w:sz w:val="20"/>
          <w:szCs w:val="20"/>
        </w:rPr>
        <w:t>dset$MPrec</w:t>
      </w:r>
      <w:proofErr w:type="spellEnd"/>
      <w:r w:rsidRPr="009D12B4">
        <w:rPr>
          <w:rFonts w:ascii="Times New Roman" w:hAnsi="Times New Roman"/>
          <w:sz w:val="20"/>
          <w:szCs w:val="20"/>
        </w:rPr>
        <w:t>[x]</w:t>
      </w:r>
    </w:p>
    <w:p w14:paraId="3CA53FC0" w14:textId="77777777" w:rsidR="009D12B4" w:rsidRPr="009D12B4" w:rsidRDefault="009D12B4" w:rsidP="009D12B4">
      <w:pPr>
        <w:spacing w:after="0" w:line="240" w:lineRule="auto"/>
        <w:rPr>
          <w:rFonts w:ascii="Times New Roman" w:hAnsi="Times New Roman"/>
          <w:sz w:val="20"/>
          <w:szCs w:val="20"/>
        </w:rPr>
      </w:pPr>
    </w:p>
    <w:p w14:paraId="2A8B76F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r w:rsidRPr="009D12B4">
        <w:rPr>
          <w:rFonts w:ascii="Times New Roman" w:hAnsi="Times New Roman"/>
          <w:sz w:val="20"/>
          <w:szCs w:val="20"/>
        </w:rPr>
        <w:tab/>
      </w:r>
      <w:proofErr w:type="gramStart"/>
      <w:r w:rsidRPr="009D12B4">
        <w:rPr>
          <w:rFonts w:ascii="Times New Roman" w:hAnsi="Times New Roman"/>
          <w:sz w:val="20"/>
          <w:szCs w:val="20"/>
        </w:rPr>
        <w:t>if(</w:t>
      </w:r>
      <w:proofErr w:type="gramEnd"/>
      <w:r w:rsidRPr="009D12B4">
        <w:rPr>
          <w:rFonts w:ascii="Times New Roman" w:hAnsi="Times New Roman"/>
          <w:sz w:val="20"/>
          <w:szCs w:val="20"/>
        </w:rPr>
        <w:t>Ny &lt; 60)</w:t>
      </w:r>
    </w:p>
    <w:p w14:paraId="4360379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 xml:space="preserve">{ </w:t>
      </w:r>
    </w:p>
    <w:p w14:paraId="5D40EBA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1E9E2D8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3546750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*(1-phase_down))</w:t>
      </w:r>
    </w:p>
    <w:p w14:paraId="6B04829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27125D5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0693393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590669F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*(1+deltaW_up))</w:t>
      </w:r>
    </w:p>
    <w:p w14:paraId="661CF08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F44D1F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0E38104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else</w:t>
      </w:r>
    </w:p>
    <w:p w14:paraId="17D45C8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 xml:space="preserve">{ </w:t>
      </w:r>
    </w:p>
    <w:p w14:paraId="48EDF1B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6B5E06E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113C234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*(1-deltaW_down))</w:t>
      </w:r>
    </w:p>
    <w:p w14:paraId="4B219CA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638482C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6D9A9FC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5FF1778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*(1+deltaW_up))</w:t>
      </w:r>
    </w:p>
    <w:p w14:paraId="4D8454A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68AFA0B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34B592D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34CE9CA4" w14:textId="77777777" w:rsidR="009D12B4" w:rsidRPr="009D12B4" w:rsidRDefault="009D12B4" w:rsidP="009D12B4">
      <w:pPr>
        <w:spacing w:after="0" w:line="240" w:lineRule="auto"/>
        <w:rPr>
          <w:rFonts w:ascii="Times New Roman" w:hAnsi="Times New Roman"/>
          <w:sz w:val="20"/>
          <w:szCs w:val="20"/>
        </w:rPr>
      </w:pPr>
    </w:p>
    <w:p w14:paraId="755C204F" w14:textId="77777777" w:rsidR="009D12B4" w:rsidRPr="009D12B4" w:rsidRDefault="009D12B4" w:rsidP="009D12B4">
      <w:pPr>
        <w:spacing w:after="0" w:line="240" w:lineRule="auto"/>
        <w:rPr>
          <w:rFonts w:ascii="Times New Roman" w:hAnsi="Times New Roman"/>
          <w:sz w:val="20"/>
          <w:szCs w:val="20"/>
        </w:rPr>
      </w:pPr>
      <w:proofErr w:type="gramStart"/>
      <w:r w:rsidRPr="009D12B4">
        <w:rPr>
          <w:rFonts w:ascii="Times New Roman" w:hAnsi="Times New Roman"/>
          <w:sz w:val="20"/>
          <w:szCs w:val="20"/>
        </w:rPr>
        <w:t>class(</w:t>
      </w:r>
      <w:proofErr w:type="spellStart"/>
      <w:proofErr w:type="gramEnd"/>
      <w:r w:rsidRPr="009D12B4">
        <w:rPr>
          <w:rFonts w:ascii="Times New Roman" w:hAnsi="Times New Roman"/>
          <w:sz w:val="20"/>
          <w:szCs w:val="20"/>
        </w:rPr>
        <w:t>ConstU_W</w:t>
      </w:r>
      <w:proofErr w:type="spellEnd"/>
      <w:r w:rsidRPr="009D12B4">
        <w:rPr>
          <w:rFonts w:ascii="Times New Roman" w:hAnsi="Times New Roman"/>
          <w:sz w:val="20"/>
          <w:szCs w:val="20"/>
        </w:rPr>
        <w:t>)&lt;-"MP"</w:t>
      </w:r>
    </w:p>
    <w:p w14:paraId="6A5063A5" w14:textId="77777777" w:rsidR="009D12B4" w:rsidRPr="009D12B4" w:rsidRDefault="009D12B4" w:rsidP="009D12B4">
      <w:pPr>
        <w:spacing w:after="0" w:line="240" w:lineRule="auto"/>
        <w:rPr>
          <w:rFonts w:ascii="Times New Roman" w:hAnsi="Times New Roman"/>
          <w:sz w:val="20"/>
          <w:szCs w:val="20"/>
        </w:rPr>
      </w:pPr>
    </w:p>
    <w:p w14:paraId="290B8EFA" w14:textId="77777777" w:rsidR="009D12B4" w:rsidRPr="009D12B4" w:rsidRDefault="009D12B4" w:rsidP="009D12B4">
      <w:pPr>
        <w:spacing w:after="0" w:line="240" w:lineRule="auto"/>
        <w:rPr>
          <w:rFonts w:ascii="Times New Roman" w:hAnsi="Times New Roman"/>
          <w:sz w:val="20"/>
          <w:szCs w:val="20"/>
        </w:rPr>
      </w:pPr>
      <w:proofErr w:type="spellStart"/>
      <w:r w:rsidRPr="009D12B4">
        <w:rPr>
          <w:rFonts w:ascii="Times New Roman" w:hAnsi="Times New Roman"/>
          <w:sz w:val="20"/>
          <w:szCs w:val="20"/>
        </w:rPr>
        <w:t>ConstU_E</w:t>
      </w:r>
      <w:proofErr w:type="spellEnd"/>
      <w:r w:rsidRPr="009D12B4">
        <w:rPr>
          <w:rFonts w:ascii="Times New Roman" w:hAnsi="Times New Roman"/>
          <w:sz w:val="20"/>
          <w:szCs w:val="20"/>
        </w:rPr>
        <w:t xml:space="preserve"> &lt;- function(</w:t>
      </w:r>
      <w:proofErr w:type="gramStart"/>
      <w:r w:rsidRPr="009D12B4">
        <w:rPr>
          <w:rFonts w:ascii="Times New Roman" w:hAnsi="Times New Roman"/>
          <w:sz w:val="20"/>
          <w:szCs w:val="20"/>
        </w:rPr>
        <w:t>x,dset</w:t>
      </w:r>
      <w:proofErr w:type="gramEnd"/>
      <w:r w:rsidRPr="009D12B4">
        <w:rPr>
          <w:rFonts w:ascii="Times New Roman" w:hAnsi="Times New Roman"/>
          <w:sz w:val="20"/>
          <w:szCs w:val="20"/>
        </w:rPr>
        <w:t xml:space="preserve">,IndexE=c(2,6),yrs4mean=3,target_yr=54,deltaE_up=0.2, </w:t>
      </w:r>
      <w:proofErr w:type="spellStart"/>
      <w:r w:rsidRPr="009D12B4">
        <w:rPr>
          <w:rFonts w:ascii="Times New Roman" w:hAnsi="Times New Roman"/>
          <w:sz w:val="20"/>
          <w:szCs w:val="20"/>
        </w:rPr>
        <w:t>deltaE_down</w:t>
      </w:r>
      <w:proofErr w:type="spellEnd"/>
      <w:r w:rsidRPr="009D12B4">
        <w:rPr>
          <w:rFonts w:ascii="Times New Roman" w:hAnsi="Times New Roman"/>
          <w:sz w:val="20"/>
          <w:szCs w:val="20"/>
        </w:rPr>
        <w:t>=0.3,multiplierE=</w:t>
      </w:r>
      <w:proofErr w:type="spellStart"/>
      <w:r w:rsidRPr="009D12B4">
        <w:rPr>
          <w:rFonts w:ascii="Times New Roman" w:hAnsi="Times New Roman"/>
          <w:sz w:val="20"/>
          <w:szCs w:val="20"/>
        </w:rPr>
        <w:t>tune_parE,Method</w:t>
      </w:r>
      <w:proofErr w:type="spellEnd"/>
      <w:r w:rsidRPr="009D12B4">
        <w:rPr>
          <w:rFonts w:ascii="Times New Roman" w:hAnsi="Times New Roman"/>
          <w:sz w:val="20"/>
          <w:szCs w:val="20"/>
        </w:rPr>
        <w:t>="mean")</w:t>
      </w:r>
    </w:p>
    <w:p w14:paraId="3B78E51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27F955C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phase_down</w:t>
      </w:r>
      <w:proofErr w:type="spellEnd"/>
      <w:r w:rsidRPr="009D12B4">
        <w:rPr>
          <w:rFonts w:ascii="Times New Roman" w:hAnsi="Times New Roman"/>
          <w:sz w:val="20"/>
          <w:szCs w:val="20"/>
        </w:rPr>
        <w:t>=0.1</w:t>
      </w:r>
    </w:p>
    <w:p w14:paraId="235CBCDD" w14:textId="77777777" w:rsidR="009D12B4" w:rsidRPr="009D12B4" w:rsidRDefault="009D12B4" w:rsidP="009D12B4">
      <w:pPr>
        <w:spacing w:after="0" w:line="240" w:lineRule="auto"/>
        <w:rPr>
          <w:rFonts w:ascii="Times New Roman" w:hAnsi="Times New Roman"/>
          <w:sz w:val="20"/>
          <w:szCs w:val="20"/>
        </w:rPr>
      </w:pPr>
    </w:p>
    <w:p w14:paraId="37C630A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target_yrs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target_yr</w:t>
      </w:r>
      <w:proofErr w:type="spellEnd"/>
      <w:r w:rsidRPr="009D12B4">
        <w:rPr>
          <w:rFonts w:ascii="Times New Roman" w:hAnsi="Times New Roman"/>
          <w:sz w:val="20"/>
          <w:szCs w:val="20"/>
        </w:rPr>
        <w:t>-(yrs4mean-1):0</w:t>
      </w:r>
    </w:p>
    <w:p w14:paraId="4944F2E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 xml:space="preserve">Ny =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
    <w:p w14:paraId="75281E6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p>
    <w:p w14:paraId="1F241B8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gramStart"/>
      <w:r w:rsidRPr="009D12B4">
        <w:rPr>
          <w:rFonts w:ascii="Times New Roman" w:hAnsi="Times New Roman"/>
          <w:sz w:val="20"/>
          <w:szCs w:val="20"/>
        </w:rPr>
        <w:t>matrix(</w:t>
      </w:r>
      <w:proofErr w:type="spellStart"/>
      <w:proofErr w:type="gramEnd"/>
      <w:r w:rsidRPr="009D12B4">
        <w:rPr>
          <w:rFonts w:ascii="Times New Roman" w:hAnsi="Times New Roman"/>
          <w:sz w:val="20"/>
          <w:szCs w:val="20"/>
        </w:rPr>
        <w:t>nrow</w:t>
      </w:r>
      <w:proofErr w:type="spellEnd"/>
      <w:r w:rsidRPr="009D12B4">
        <w:rPr>
          <w:rFonts w:ascii="Times New Roman" w:hAnsi="Times New Roman"/>
          <w:sz w:val="20"/>
          <w:szCs w:val="20"/>
        </w:rPr>
        <w:t xml:space="preserve">=1,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=length(</w:t>
      </w:r>
      <w:proofErr w:type="spellStart"/>
      <w:r w:rsidRPr="009D12B4">
        <w:rPr>
          <w:rFonts w:ascii="Times New Roman" w:hAnsi="Times New Roman"/>
          <w:sz w:val="20"/>
          <w:szCs w:val="20"/>
        </w:rPr>
        <w:t>IndexE</w:t>
      </w:r>
      <w:proofErr w:type="spellEnd"/>
      <w:r w:rsidRPr="009D12B4">
        <w:rPr>
          <w:rFonts w:ascii="Times New Roman" w:hAnsi="Times New Roman"/>
          <w:sz w:val="20"/>
          <w:szCs w:val="20"/>
        </w:rPr>
        <w:t>))</w:t>
      </w:r>
    </w:p>
    <w:p w14:paraId="474010E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gramStart"/>
      <w:r w:rsidRPr="009D12B4">
        <w:rPr>
          <w:rFonts w:ascii="Times New Roman" w:hAnsi="Times New Roman"/>
          <w:sz w:val="20"/>
          <w:szCs w:val="20"/>
        </w:rPr>
        <w:t>for(</w:t>
      </w:r>
      <w:proofErr w:type="spellStart"/>
      <w:proofErr w:type="gramEnd"/>
      <w:r w:rsidRPr="009D12B4">
        <w:rPr>
          <w:rFonts w:ascii="Times New Roman" w:hAnsi="Times New Roman"/>
          <w:sz w:val="20"/>
          <w:szCs w:val="20"/>
        </w:rPr>
        <w:t>i</w:t>
      </w:r>
      <w:proofErr w:type="spellEnd"/>
      <w:r w:rsidRPr="009D12B4">
        <w:rPr>
          <w:rFonts w:ascii="Times New Roman" w:hAnsi="Times New Roman"/>
          <w:sz w:val="20"/>
          <w:szCs w:val="20"/>
        </w:rPr>
        <w:t xml:space="preserve"> in 1:length(</w:t>
      </w:r>
      <w:proofErr w:type="spellStart"/>
      <w:r w:rsidRPr="009D12B4">
        <w:rPr>
          <w:rFonts w:ascii="Times New Roman" w:hAnsi="Times New Roman"/>
          <w:sz w:val="20"/>
          <w:szCs w:val="20"/>
        </w:rPr>
        <w:t>IndexE</w:t>
      </w:r>
      <w:proofErr w:type="spellEnd"/>
      <w:r w:rsidRPr="009D12B4">
        <w:rPr>
          <w:rFonts w:ascii="Times New Roman" w:hAnsi="Times New Roman"/>
          <w:sz w:val="20"/>
          <w:szCs w:val="20"/>
        </w:rPr>
        <w:t>))</w:t>
      </w:r>
    </w:p>
    <w:p w14:paraId="7FD492F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1916873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targetI=mean(dset$Iobs[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[i],target_yrs],na.rm=TRUE)/mean(dset$Iobs[x,IndexE[i],1:target_yr],na.rm=TRUE)</w:t>
      </w:r>
    </w:p>
    <w:p w14:paraId="104E041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x,target</w:t>
      </w:r>
      <w:proofErr w:type="gramEnd"/>
      <w:r w:rsidRPr="009D12B4">
        <w:rPr>
          <w:rFonts w:ascii="Times New Roman" w:hAnsi="Times New Roman"/>
          <w:sz w:val="20"/>
          <w:szCs w:val="20"/>
        </w:rPr>
        <w:t>_yrs</w:t>
      </w:r>
      <w:proofErr w:type="spellEnd"/>
      <w:r w:rsidRPr="009D12B4">
        <w:rPr>
          <w:rFonts w:ascii="Times New Roman" w:hAnsi="Times New Roman"/>
          <w:sz w:val="20"/>
          <w:szCs w:val="20"/>
        </w:rPr>
        <w:t>],na.rm=TRUE)</w:t>
      </w:r>
    </w:p>
    <w:p w14:paraId="1C0018F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multiplierE</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targetI</w:t>
      </w:r>
      <w:proofErr w:type="spellEnd"/>
      <w:r w:rsidRPr="009D12B4">
        <w:rPr>
          <w:rFonts w:ascii="Times New Roman" w:hAnsi="Times New Roman"/>
          <w:sz w:val="20"/>
          <w:szCs w:val="20"/>
        </w:rPr>
        <w:t>)</w:t>
      </w:r>
    </w:p>
    <w:p w14:paraId="4ACB569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=dim(</w:t>
      </w:r>
      <w:proofErr w:type="spellStart"/>
      <w:r w:rsidRPr="009D12B4">
        <w:rPr>
          <w:rFonts w:ascii="Times New Roman" w:hAnsi="Times New Roman"/>
          <w:sz w:val="20"/>
          <w:szCs w:val="20"/>
        </w:rPr>
        <w:t>dset$</w:t>
      </w:r>
      <w:proofErr w:type="gramStart"/>
      <w:r w:rsidRPr="009D12B4">
        <w:rPr>
          <w:rFonts w:ascii="Times New Roman" w:hAnsi="Times New Roman"/>
          <w:sz w:val="20"/>
          <w:szCs w:val="20"/>
        </w:rPr>
        <w:t>Iobs</w:t>
      </w:r>
      <w:proofErr w:type="spellEnd"/>
      <w:r w:rsidRPr="009D12B4">
        <w:rPr>
          <w:rFonts w:ascii="Times New Roman" w:hAnsi="Times New Roman"/>
          <w:sz w:val="20"/>
          <w:szCs w:val="20"/>
        </w:rPr>
        <w:t>)[</w:t>
      </w:r>
      <w:proofErr w:type="gramEnd"/>
      <w:r w:rsidRPr="009D12B4">
        <w:rPr>
          <w:rFonts w:ascii="Times New Roman" w:hAnsi="Times New Roman"/>
          <w:sz w:val="20"/>
          <w:szCs w:val="20"/>
        </w:rPr>
        <w:t>3]</w:t>
      </w:r>
    </w:p>
    <w:p w14:paraId="75C5869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datayrs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-(yrs4mean-1):0</w:t>
      </w:r>
    </w:p>
    <w:p w14:paraId="35C84CD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curI=mean(dset$Iobs[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[i],datayrs],na.rm=TRUE)/mean(dset$Iobs[x,IndexE[i],1:target_yr],na.rm=TRUE)</w:t>
      </w:r>
    </w:p>
    <w:p w14:paraId="603941D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x,datayrs</w:t>
      </w:r>
      <w:proofErr w:type="spellEnd"/>
      <w:proofErr w:type="gramEnd"/>
      <w:r w:rsidRPr="009D12B4">
        <w:rPr>
          <w:rFonts w:ascii="Times New Roman" w:hAnsi="Times New Roman"/>
          <w:sz w:val="20"/>
          <w:szCs w:val="20"/>
        </w:rPr>
        <w:t>],na.rm=TRUE)</w:t>
      </w:r>
    </w:p>
    <w:p w14:paraId="0FA02F4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curI</w:t>
      </w:r>
      <w:proofErr w:type="spellEnd"/>
    </w:p>
    <w:p w14:paraId="0F434E0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spellStart"/>
      <w:r w:rsidRPr="009D12B4">
        <w:rPr>
          <w:rFonts w:ascii="Times New Roman" w:hAnsi="Times New Roman"/>
          <w:sz w:val="20"/>
          <w:szCs w:val="20"/>
        </w:rPr>
        <w:t>i</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curU</w:t>
      </w:r>
      <w:proofErr w:type="spellEnd"/>
    </w:p>
    <w:p w14:paraId="2416219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001361A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=apply(delta_ratios,</w:t>
      </w:r>
      <w:proofErr w:type="gramStart"/>
      <w:r w:rsidRPr="009D12B4">
        <w:rPr>
          <w:rFonts w:ascii="Times New Roman" w:hAnsi="Times New Roman"/>
          <w:sz w:val="20"/>
          <w:szCs w:val="20"/>
        </w:rPr>
        <w:t>1,FUN</w:t>
      </w:r>
      <w:proofErr w:type="gramEnd"/>
      <w:r w:rsidRPr="009D12B4">
        <w:rPr>
          <w:rFonts w:ascii="Times New Roman" w:hAnsi="Times New Roman"/>
          <w:sz w:val="20"/>
          <w:szCs w:val="20"/>
        </w:rPr>
        <w:t>=Method)</w:t>
      </w:r>
    </w:p>
    <w:p w14:paraId="02969F5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p>
    <w:p w14:paraId="676C55C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 xml:space="preserve"> = </w:t>
      </w:r>
      <w:proofErr w:type="spellStart"/>
      <w:r w:rsidRPr="009D12B4">
        <w:rPr>
          <w:rFonts w:ascii="Times New Roman" w:hAnsi="Times New Roman"/>
          <w:sz w:val="20"/>
          <w:szCs w:val="20"/>
        </w:rPr>
        <w:t>dset$MPrec</w:t>
      </w:r>
      <w:proofErr w:type="spellEnd"/>
      <w:r w:rsidRPr="009D12B4">
        <w:rPr>
          <w:rFonts w:ascii="Times New Roman" w:hAnsi="Times New Roman"/>
          <w:sz w:val="20"/>
          <w:szCs w:val="20"/>
        </w:rPr>
        <w:t>[x]</w:t>
      </w:r>
    </w:p>
    <w:p w14:paraId="4223941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gramStart"/>
      <w:r w:rsidRPr="009D12B4">
        <w:rPr>
          <w:rFonts w:ascii="Times New Roman" w:hAnsi="Times New Roman"/>
          <w:sz w:val="20"/>
          <w:szCs w:val="20"/>
        </w:rPr>
        <w:t>if(</w:t>
      </w:r>
      <w:proofErr w:type="gramEnd"/>
      <w:r w:rsidRPr="009D12B4">
        <w:rPr>
          <w:rFonts w:ascii="Times New Roman" w:hAnsi="Times New Roman"/>
          <w:sz w:val="20"/>
          <w:szCs w:val="20"/>
        </w:rPr>
        <w:t>Ny&lt;60)</w:t>
      </w:r>
    </w:p>
    <w:p w14:paraId="69F62EF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2473D0E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0A2229B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r w:rsidRPr="009D12B4">
        <w:rPr>
          <w:rFonts w:ascii="Times New Roman" w:hAnsi="Times New Roman"/>
          <w:sz w:val="20"/>
          <w:szCs w:val="20"/>
        </w:rPr>
        <w:tab/>
      </w:r>
    </w:p>
    <w:p w14:paraId="5BA6949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*(1-phase_down))</w:t>
      </w:r>
    </w:p>
    <w:p w14:paraId="209E3EA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1D6DE3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5B18CC3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6160003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*(1+deltaE_up))</w:t>
      </w:r>
    </w:p>
    <w:p w14:paraId="3AF5702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4DCAC7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50D1F7D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else</w:t>
      </w:r>
    </w:p>
    <w:p w14:paraId="221E21C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79021F3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61735D1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r w:rsidRPr="009D12B4">
        <w:rPr>
          <w:rFonts w:ascii="Times New Roman" w:hAnsi="Times New Roman"/>
          <w:sz w:val="20"/>
          <w:szCs w:val="20"/>
        </w:rPr>
        <w:tab/>
      </w:r>
    </w:p>
    <w:p w14:paraId="21C7F1E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*(1-deltaE_down))</w:t>
      </w:r>
    </w:p>
    <w:p w14:paraId="0E9933D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2666AD0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4C08AAE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0392279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*(1+deltaE_up))</w:t>
      </w:r>
    </w:p>
    <w:p w14:paraId="19053EA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942012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74334FF8" w14:textId="77777777" w:rsidR="009D12B4" w:rsidRPr="009D12B4" w:rsidRDefault="009D12B4" w:rsidP="009D12B4">
      <w:pPr>
        <w:spacing w:after="0" w:line="240" w:lineRule="auto"/>
        <w:rPr>
          <w:rFonts w:ascii="Times New Roman" w:hAnsi="Times New Roman"/>
          <w:sz w:val="20"/>
          <w:szCs w:val="20"/>
        </w:rPr>
      </w:pPr>
    </w:p>
    <w:p w14:paraId="6F8FC16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
    <w:p w14:paraId="78FC2E7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7D8F6A29" w14:textId="77777777" w:rsidR="009D12B4" w:rsidRPr="009D12B4" w:rsidRDefault="009D12B4" w:rsidP="009D12B4">
      <w:pPr>
        <w:spacing w:after="0" w:line="240" w:lineRule="auto"/>
        <w:rPr>
          <w:rFonts w:ascii="Times New Roman" w:hAnsi="Times New Roman"/>
          <w:sz w:val="20"/>
          <w:szCs w:val="20"/>
        </w:rPr>
      </w:pPr>
      <w:proofErr w:type="gramStart"/>
      <w:r w:rsidRPr="009D12B4">
        <w:rPr>
          <w:rFonts w:ascii="Times New Roman" w:hAnsi="Times New Roman"/>
          <w:sz w:val="20"/>
          <w:szCs w:val="20"/>
        </w:rPr>
        <w:t>class(</w:t>
      </w:r>
      <w:proofErr w:type="spellStart"/>
      <w:proofErr w:type="gramEnd"/>
      <w:r w:rsidRPr="009D12B4">
        <w:rPr>
          <w:rFonts w:ascii="Times New Roman" w:hAnsi="Times New Roman"/>
          <w:sz w:val="20"/>
          <w:szCs w:val="20"/>
        </w:rPr>
        <w:t>ConstU_E</w:t>
      </w:r>
      <w:proofErr w:type="spellEnd"/>
      <w:r w:rsidRPr="009D12B4">
        <w:rPr>
          <w:rFonts w:ascii="Times New Roman" w:hAnsi="Times New Roman"/>
          <w:sz w:val="20"/>
          <w:szCs w:val="20"/>
        </w:rPr>
        <w:t>)&lt;-"MP"</w:t>
      </w:r>
    </w:p>
    <w:p w14:paraId="01E8AC7F" w14:textId="77777777" w:rsidR="009D12B4" w:rsidRPr="009D12B4" w:rsidRDefault="009D12B4" w:rsidP="009D12B4">
      <w:pPr>
        <w:spacing w:after="0" w:line="240" w:lineRule="auto"/>
        <w:rPr>
          <w:rFonts w:ascii="Times New Roman" w:hAnsi="Times New Roman"/>
          <w:sz w:val="20"/>
          <w:szCs w:val="20"/>
        </w:rPr>
      </w:pPr>
    </w:p>
    <w:p w14:paraId="0A76CD6D" w14:textId="743A2AA4" w:rsid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NOAA_CMPs&lt;-list(c('ConstU_E','</w:t>
      </w:r>
      <w:proofErr w:type="spellStart"/>
      <w:r w:rsidRPr="009D12B4">
        <w:rPr>
          <w:rFonts w:ascii="Times New Roman" w:hAnsi="Times New Roman"/>
          <w:sz w:val="20"/>
          <w:szCs w:val="20"/>
        </w:rPr>
        <w:t>ConstU_W</w:t>
      </w:r>
      <w:proofErr w:type="spellEnd"/>
      <w:r w:rsidRPr="009D12B4">
        <w:rPr>
          <w:rFonts w:ascii="Times New Roman" w:hAnsi="Times New Roman"/>
          <w:sz w:val="20"/>
          <w:szCs w:val="20"/>
        </w:rPr>
        <w:t>'))</w:t>
      </w:r>
    </w:p>
    <w:p w14:paraId="7682C2F8" w14:textId="77777777" w:rsidR="009D12B4" w:rsidRDefault="009D12B4">
      <w:pPr>
        <w:spacing w:after="0" w:line="240" w:lineRule="auto"/>
        <w:rPr>
          <w:rFonts w:ascii="Times New Roman" w:hAnsi="Times New Roman"/>
          <w:sz w:val="20"/>
          <w:szCs w:val="20"/>
        </w:rPr>
      </w:pPr>
      <w:r>
        <w:rPr>
          <w:rFonts w:ascii="Times New Roman" w:hAnsi="Times New Roman"/>
          <w:sz w:val="20"/>
          <w:szCs w:val="20"/>
        </w:rPr>
        <w:br w:type="page"/>
      </w:r>
    </w:p>
    <w:p w14:paraId="44EA8697" w14:textId="41536361" w:rsidR="009D12B4" w:rsidRDefault="009D12B4" w:rsidP="009D12B4">
      <w:pPr>
        <w:spacing w:after="0" w:line="240" w:lineRule="auto"/>
        <w:rPr>
          <w:rFonts w:ascii="Times New Roman" w:hAnsi="Times New Roman"/>
          <w:sz w:val="20"/>
          <w:szCs w:val="20"/>
        </w:rPr>
      </w:pPr>
      <w:r w:rsidRPr="009D12B4">
        <w:rPr>
          <w:rFonts w:ascii="Times New Roman" w:hAnsi="Times New Roman"/>
          <w:b/>
          <w:sz w:val="20"/>
          <w:szCs w:val="20"/>
        </w:rPr>
        <w:lastRenderedPageBreak/>
        <w:t>APPENDIX B</w:t>
      </w:r>
      <w:r>
        <w:rPr>
          <w:rFonts w:ascii="Times New Roman" w:hAnsi="Times New Roman"/>
          <w:sz w:val="20"/>
          <w:szCs w:val="20"/>
        </w:rPr>
        <w:t>.  R code for the LW CMP with a 3-yr management cycle.</w:t>
      </w:r>
    </w:p>
    <w:p w14:paraId="37184F97" w14:textId="3AB2150B" w:rsidR="009D12B4" w:rsidRDefault="009D12B4" w:rsidP="009D12B4">
      <w:pPr>
        <w:spacing w:after="0" w:line="240" w:lineRule="auto"/>
        <w:rPr>
          <w:rFonts w:ascii="Times New Roman" w:hAnsi="Times New Roman"/>
          <w:sz w:val="20"/>
          <w:szCs w:val="20"/>
        </w:rPr>
      </w:pPr>
    </w:p>
    <w:p w14:paraId="1D20BD2A" w14:textId="77777777" w:rsidR="009D12B4" w:rsidRPr="009D12B4" w:rsidRDefault="009D12B4" w:rsidP="009D12B4">
      <w:pPr>
        <w:spacing w:after="0" w:line="240" w:lineRule="auto"/>
        <w:rPr>
          <w:rFonts w:ascii="Times New Roman" w:hAnsi="Times New Roman"/>
          <w:sz w:val="20"/>
          <w:szCs w:val="20"/>
        </w:rPr>
      </w:pPr>
      <w:proofErr w:type="spellStart"/>
      <w:r w:rsidRPr="009D12B4">
        <w:rPr>
          <w:rFonts w:ascii="Times New Roman" w:hAnsi="Times New Roman"/>
          <w:sz w:val="20"/>
          <w:szCs w:val="20"/>
        </w:rPr>
        <w:t>ConstU_W</w:t>
      </w:r>
      <w:proofErr w:type="spellEnd"/>
      <w:r w:rsidRPr="009D12B4">
        <w:rPr>
          <w:rFonts w:ascii="Times New Roman" w:hAnsi="Times New Roman"/>
          <w:sz w:val="20"/>
          <w:szCs w:val="20"/>
        </w:rPr>
        <w:t xml:space="preserve"> &lt;- function(</w:t>
      </w:r>
      <w:proofErr w:type="gramStart"/>
      <w:r w:rsidRPr="009D12B4">
        <w:rPr>
          <w:rFonts w:ascii="Times New Roman" w:hAnsi="Times New Roman"/>
          <w:sz w:val="20"/>
          <w:szCs w:val="20"/>
        </w:rPr>
        <w:t>x,dset</w:t>
      </w:r>
      <w:proofErr w:type="gramEnd"/>
      <w:r w:rsidRPr="009D12B4">
        <w:rPr>
          <w:rFonts w:ascii="Times New Roman" w:hAnsi="Times New Roman"/>
          <w:sz w:val="20"/>
          <w:szCs w:val="20"/>
        </w:rPr>
        <w:t>,IndexE=c(2,6),IndexW=c(3,14),yrs4mean=3,target_yr=54,deltaW_up=0.2,deltaW_down=0.3,multiplierW=tune_parW,Method='mean')</w:t>
      </w:r>
    </w:p>
    <w:p w14:paraId="0C05AF3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51201C0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phase_down</w:t>
      </w:r>
      <w:proofErr w:type="spellEnd"/>
      <w:r w:rsidRPr="009D12B4">
        <w:rPr>
          <w:rFonts w:ascii="Times New Roman" w:hAnsi="Times New Roman"/>
          <w:sz w:val="20"/>
          <w:szCs w:val="20"/>
        </w:rPr>
        <w:t>=0.1</w:t>
      </w:r>
    </w:p>
    <w:p w14:paraId="57E0688C" w14:textId="77777777" w:rsidR="009D12B4" w:rsidRPr="009D12B4" w:rsidRDefault="009D12B4" w:rsidP="009D12B4">
      <w:pPr>
        <w:spacing w:after="0" w:line="240" w:lineRule="auto"/>
        <w:rPr>
          <w:rFonts w:ascii="Times New Roman" w:hAnsi="Times New Roman"/>
          <w:sz w:val="20"/>
          <w:szCs w:val="20"/>
        </w:rPr>
      </w:pPr>
    </w:p>
    <w:p w14:paraId="5717B68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target_yrs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target_yr</w:t>
      </w:r>
      <w:proofErr w:type="spellEnd"/>
      <w:r w:rsidRPr="009D12B4">
        <w:rPr>
          <w:rFonts w:ascii="Times New Roman" w:hAnsi="Times New Roman"/>
          <w:sz w:val="20"/>
          <w:szCs w:val="20"/>
        </w:rPr>
        <w:t>-(yrs4mean-1):0</w:t>
      </w:r>
    </w:p>
    <w:p w14:paraId="43C3041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 xml:space="preserve">Ny =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
    <w:p w14:paraId="2B8070B2" w14:textId="77777777" w:rsidR="009D12B4" w:rsidRPr="009D12B4" w:rsidRDefault="009D12B4" w:rsidP="009D12B4">
      <w:pPr>
        <w:spacing w:after="0" w:line="240" w:lineRule="auto"/>
        <w:rPr>
          <w:rFonts w:ascii="Times New Roman" w:hAnsi="Times New Roman"/>
          <w:sz w:val="20"/>
          <w:szCs w:val="20"/>
        </w:rPr>
      </w:pPr>
    </w:p>
    <w:p w14:paraId="7970390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gramStart"/>
      <w:r w:rsidRPr="009D12B4">
        <w:rPr>
          <w:rFonts w:ascii="Times New Roman" w:hAnsi="Times New Roman"/>
          <w:sz w:val="20"/>
          <w:szCs w:val="20"/>
        </w:rPr>
        <w:t>matrix(</w:t>
      </w:r>
      <w:proofErr w:type="spellStart"/>
      <w:proofErr w:type="gramEnd"/>
      <w:r w:rsidRPr="009D12B4">
        <w:rPr>
          <w:rFonts w:ascii="Times New Roman" w:hAnsi="Times New Roman"/>
          <w:sz w:val="20"/>
          <w:szCs w:val="20"/>
        </w:rPr>
        <w:t>nrow</w:t>
      </w:r>
      <w:proofErr w:type="spellEnd"/>
      <w:r w:rsidRPr="009D12B4">
        <w:rPr>
          <w:rFonts w:ascii="Times New Roman" w:hAnsi="Times New Roman"/>
          <w:sz w:val="20"/>
          <w:szCs w:val="20"/>
        </w:rPr>
        <w:t xml:space="preserve">=1,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=length(</w:t>
      </w:r>
      <w:proofErr w:type="spellStart"/>
      <w:r w:rsidRPr="009D12B4">
        <w:rPr>
          <w:rFonts w:ascii="Times New Roman" w:hAnsi="Times New Roman"/>
          <w:sz w:val="20"/>
          <w:szCs w:val="20"/>
        </w:rPr>
        <w:t>IndexE</w:t>
      </w:r>
      <w:proofErr w:type="spellEnd"/>
      <w:r w:rsidRPr="009D12B4">
        <w:rPr>
          <w:rFonts w:ascii="Times New Roman" w:hAnsi="Times New Roman"/>
          <w:sz w:val="20"/>
          <w:szCs w:val="20"/>
        </w:rPr>
        <w:t>))</w:t>
      </w:r>
    </w:p>
    <w:p w14:paraId="6149802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gramStart"/>
      <w:r w:rsidRPr="009D12B4">
        <w:rPr>
          <w:rFonts w:ascii="Times New Roman" w:hAnsi="Times New Roman"/>
          <w:sz w:val="20"/>
          <w:szCs w:val="20"/>
        </w:rPr>
        <w:t>for(</w:t>
      </w:r>
      <w:proofErr w:type="spellStart"/>
      <w:proofErr w:type="gramEnd"/>
      <w:r w:rsidRPr="009D12B4">
        <w:rPr>
          <w:rFonts w:ascii="Times New Roman" w:hAnsi="Times New Roman"/>
          <w:sz w:val="20"/>
          <w:szCs w:val="20"/>
        </w:rPr>
        <w:t>i</w:t>
      </w:r>
      <w:proofErr w:type="spellEnd"/>
      <w:r w:rsidRPr="009D12B4">
        <w:rPr>
          <w:rFonts w:ascii="Times New Roman" w:hAnsi="Times New Roman"/>
          <w:sz w:val="20"/>
          <w:szCs w:val="20"/>
        </w:rPr>
        <w:t xml:space="preserve"> in 1:length(</w:t>
      </w:r>
      <w:proofErr w:type="spellStart"/>
      <w:r w:rsidRPr="009D12B4">
        <w:rPr>
          <w:rFonts w:ascii="Times New Roman" w:hAnsi="Times New Roman"/>
          <w:sz w:val="20"/>
          <w:szCs w:val="20"/>
        </w:rPr>
        <w:t>IndexW</w:t>
      </w:r>
      <w:proofErr w:type="spellEnd"/>
      <w:r w:rsidRPr="009D12B4">
        <w:rPr>
          <w:rFonts w:ascii="Times New Roman" w:hAnsi="Times New Roman"/>
          <w:sz w:val="20"/>
          <w:szCs w:val="20"/>
        </w:rPr>
        <w:t>))</w:t>
      </w:r>
    </w:p>
    <w:p w14:paraId="5BC5A57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4868BB0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targetI=mean(dset$Iobs[</w:t>
      </w:r>
      <w:proofErr w:type="gramStart"/>
      <w:r w:rsidRPr="009D12B4">
        <w:rPr>
          <w:rFonts w:ascii="Times New Roman" w:hAnsi="Times New Roman"/>
          <w:sz w:val="20"/>
          <w:szCs w:val="20"/>
        </w:rPr>
        <w:t>x,IndexW</w:t>
      </w:r>
      <w:proofErr w:type="gramEnd"/>
      <w:r w:rsidRPr="009D12B4">
        <w:rPr>
          <w:rFonts w:ascii="Times New Roman" w:hAnsi="Times New Roman"/>
          <w:sz w:val="20"/>
          <w:szCs w:val="20"/>
        </w:rPr>
        <w:t>[i],target_yrs],na.rm=TRUE)/mean(dset$Iobs[x,IndexW[i],1:target_yr],na.rm=TRUE)+</w:t>
      </w:r>
    </w:p>
    <w:p w14:paraId="74DB4F8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[i],target_yrs],na.rm=TRUE)/mean(dset$Iobs[x,IndexE[i],1:target_yr],na.rm=TRUE)</w:t>
      </w:r>
    </w:p>
    <w:p w14:paraId="1C88094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x,target</w:t>
      </w:r>
      <w:proofErr w:type="gramEnd"/>
      <w:r w:rsidRPr="009D12B4">
        <w:rPr>
          <w:rFonts w:ascii="Times New Roman" w:hAnsi="Times New Roman"/>
          <w:sz w:val="20"/>
          <w:szCs w:val="20"/>
        </w:rPr>
        <w:t>_yrs</w:t>
      </w:r>
      <w:proofErr w:type="spellEnd"/>
      <w:r w:rsidRPr="009D12B4">
        <w:rPr>
          <w:rFonts w:ascii="Times New Roman" w:hAnsi="Times New Roman"/>
          <w:sz w:val="20"/>
          <w:szCs w:val="20"/>
        </w:rPr>
        <w:t>],na.rm=TRUE)</w:t>
      </w:r>
    </w:p>
    <w:p w14:paraId="29D7B01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multiplierW</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targetI</w:t>
      </w:r>
      <w:proofErr w:type="spellEnd"/>
    </w:p>
    <w:p w14:paraId="528B6C5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=dim(</w:t>
      </w:r>
      <w:proofErr w:type="spellStart"/>
      <w:r w:rsidRPr="009D12B4">
        <w:rPr>
          <w:rFonts w:ascii="Times New Roman" w:hAnsi="Times New Roman"/>
          <w:sz w:val="20"/>
          <w:szCs w:val="20"/>
        </w:rPr>
        <w:t>dset$</w:t>
      </w:r>
      <w:proofErr w:type="gramStart"/>
      <w:r w:rsidRPr="009D12B4">
        <w:rPr>
          <w:rFonts w:ascii="Times New Roman" w:hAnsi="Times New Roman"/>
          <w:sz w:val="20"/>
          <w:szCs w:val="20"/>
        </w:rPr>
        <w:t>Iobs</w:t>
      </w:r>
      <w:proofErr w:type="spellEnd"/>
      <w:r w:rsidRPr="009D12B4">
        <w:rPr>
          <w:rFonts w:ascii="Times New Roman" w:hAnsi="Times New Roman"/>
          <w:sz w:val="20"/>
          <w:szCs w:val="20"/>
        </w:rPr>
        <w:t>)[</w:t>
      </w:r>
      <w:proofErr w:type="gramEnd"/>
      <w:r w:rsidRPr="009D12B4">
        <w:rPr>
          <w:rFonts w:ascii="Times New Roman" w:hAnsi="Times New Roman"/>
          <w:sz w:val="20"/>
          <w:szCs w:val="20"/>
        </w:rPr>
        <w:t>3]</w:t>
      </w:r>
    </w:p>
    <w:p w14:paraId="49C968A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datayrs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-(yrs4mean-1):0</w:t>
      </w:r>
    </w:p>
    <w:p w14:paraId="4EC1B1D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curI=mean(dset$Iobs[</w:t>
      </w:r>
      <w:proofErr w:type="gramStart"/>
      <w:r w:rsidRPr="009D12B4">
        <w:rPr>
          <w:rFonts w:ascii="Times New Roman" w:hAnsi="Times New Roman"/>
          <w:sz w:val="20"/>
          <w:szCs w:val="20"/>
        </w:rPr>
        <w:t>x,IndexW</w:t>
      </w:r>
      <w:proofErr w:type="gramEnd"/>
      <w:r w:rsidRPr="009D12B4">
        <w:rPr>
          <w:rFonts w:ascii="Times New Roman" w:hAnsi="Times New Roman"/>
          <w:sz w:val="20"/>
          <w:szCs w:val="20"/>
        </w:rPr>
        <w:t>[i],datayrs],na.rm=TRUE)/mean(dset$Iobs[x,IndexW[i],1:target_yr],na.rm=TRUE)+</w:t>
      </w:r>
    </w:p>
    <w:p w14:paraId="77CFEAF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[i],datayrs],na.rm=TRUE)/mean(dset$Iobs[x,IndexE[i],1:target_yr],na.rm=TRUE)</w:t>
      </w:r>
    </w:p>
    <w:p w14:paraId="7E7583C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x,datayrs</w:t>
      </w:r>
      <w:proofErr w:type="spellEnd"/>
      <w:proofErr w:type="gramEnd"/>
      <w:r w:rsidRPr="009D12B4">
        <w:rPr>
          <w:rFonts w:ascii="Times New Roman" w:hAnsi="Times New Roman"/>
          <w:sz w:val="20"/>
          <w:szCs w:val="20"/>
        </w:rPr>
        <w:t>],na.rm=TRUE)</w:t>
      </w:r>
    </w:p>
    <w:p w14:paraId="7D4D744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curI</w:t>
      </w:r>
      <w:proofErr w:type="spellEnd"/>
      <w:r w:rsidRPr="009D12B4">
        <w:rPr>
          <w:rFonts w:ascii="Times New Roman" w:hAnsi="Times New Roman"/>
          <w:sz w:val="20"/>
          <w:szCs w:val="20"/>
        </w:rPr>
        <w:t>)</w:t>
      </w:r>
    </w:p>
    <w:p w14:paraId="1F72EC4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spellStart"/>
      <w:r w:rsidRPr="009D12B4">
        <w:rPr>
          <w:rFonts w:ascii="Times New Roman" w:hAnsi="Times New Roman"/>
          <w:sz w:val="20"/>
          <w:szCs w:val="20"/>
        </w:rPr>
        <w:t>i</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curU</w:t>
      </w:r>
      <w:proofErr w:type="spellEnd"/>
    </w:p>
    <w:p w14:paraId="16DE94C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73FEEA0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=apply(delta_ratios,</w:t>
      </w:r>
      <w:proofErr w:type="gramStart"/>
      <w:r w:rsidRPr="009D12B4">
        <w:rPr>
          <w:rFonts w:ascii="Times New Roman" w:hAnsi="Times New Roman"/>
          <w:sz w:val="20"/>
          <w:szCs w:val="20"/>
        </w:rPr>
        <w:t>1,FUN</w:t>
      </w:r>
      <w:proofErr w:type="gramEnd"/>
      <w:r w:rsidRPr="009D12B4">
        <w:rPr>
          <w:rFonts w:ascii="Times New Roman" w:hAnsi="Times New Roman"/>
          <w:sz w:val="20"/>
          <w:szCs w:val="20"/>
        </w:rPr>
        <w:t>=Method)</w:t>
      </w:r>
    </w:p>
    <w:p w14:paraId="1565679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 xml:space="preserve"> = </w:t>
      </w:r>
      <w:proofErr w:type="spellStart"/>
      <w:r w:rsidRPr="009D12B4">
        <w:rPr>
          <w:rFonts w:ascii="Times New Roman" w:hAnsi="Times New Roman"/>
          <w:sz w:val="20"/>
          <w:szCs w:val="20"/>
        </w:rPr>
        <w:t>dset$MPrec</w:t>
      </w:r>
      <w:proofErr w:type="spellEnd"/>
      <w:r w:rsidRPr="009D12B4">
        <w:rPr>
          <w:rFonts w:ascii="Times New Roman" w:hAnsi="Times New Roman"/>
          <w:sz w:val="20"/>
          <w:szCs w:val="20"/>
        </w:rPr>
        <w:t>[x]</w:t>
      </w:r>
    </w:p>
    <w:p w14:paraId="6E44ADC0" w14:textId="77777777" w:rsidR="009D12B4" w:rsidRPr="009D12B4" w:rsidRDefault="009D12B4" w:rsidP="009D12B4">
      <w:pPr>
        <w:spacing w:after="0" w:line="240" w:lineRule="auto"/>
        <w:rPr>
          <w:rFonts w:ascii="Times New Roman" w:hAnsi="Times New Roman"/>
          <w:sz w:val="20"/>
          <w:szCs w:val="20"/>
        </w:rPr>
      </w:pPr>
    </w:p>
    <w:p w14:paraId="5BCA960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r w:rsidRPr="009D12B4">
        <w:rPr>
          <w:rFonts w:ascii="Times New Roman" w:hAnsi="Times New Roman"/>
          <w:sz w:val="20"/>
          <w:szCs w:val="20"/>
        </w:rPr>
        <w:tab/>
      </w:r>
      <w:proofErr w:type="gramStart"/>
      <w:r w:rsidRPr="009D12B4">
        <w:rPr>
          <w:rFonts w:ascii="Times New Roman" w:hAnsi="Times New Roman"/>
          <w:sz w:val="20"/>
          <w:szCs w:val="20"/>
        </w:rPr>
        <w:t>if(</w:t>
      </w:r>
      <w:proofErr w:type="gramEnd"/>
      <w:r w:rsidRPr="009D12B4">
        <w:rPr>
          <w:rFonts w:ascii="Times New Roman" w:hAnsi="Times New Roman"/>
          <w:sz w:val="20"/>
          <w:szCs w:val="20"/>
        </w:rPr>
        <w:t>Ny &lt; 59)</w:t>
      </w:r>
    </w:p>
    <w:p w14:paraId="05EAB7B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 xml:space="preserve">{ </w:t>
      </w:r>
    </w:p>
    <w:p w14:paraId="1896457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57F3AE3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3A7022F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*(1-phase_down))</w:t>
      </w:r>
    </w:p>
    <w:p w14:paraId="7AFB330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11E17BB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125321B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1A4189A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*(1+deltaW_up))</w:t>
      </w:r>
    </w:p>
    <w:p w14:paraId="5F4B990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23A599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438BCA9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else</w:t>
      </w:r>
    </w:p>
    <w:p w14:paraId="64E83A3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 xml:space="preserve">{ </w:t>
      </w:r>
    </w:p>
    <w:p w14:paraId="3C0DC8F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77E2762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45DC982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*(1-deltaW_down))</w:t>
      </w:r>
    </w:p>
    <w:p w14:paraId="3AC5068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3398290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6F6AF66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57B360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*(1+deltaW_up))</w:t>
      </w:r>
    </w:p>
    <w:p w14:paraId="12D5041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110998FB"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383E8D6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52C2A4EB" w14:textId="77777777" w:rsidR="009D12B4" w:rsidRPr="009D12B4" w:rsidRDefault="009D12B4" w:rsidP="009D12B4">
      <w:pPr>
        <w:spacing w:after="0" w:line="240" w:lineRule="auto"/>
        <w:rPr>
          <w:rFonts w:ascii="Times New Roman" w:hAnsi="Times New Roman"/>
          <w:sz w:val="20"/>
          <w:szCs w:val="20"/>
        </w:rPr>
      </w:pPr>
    </w:p>
    <w:p w14:paraId="103DADAE" w14:textId="77777777" w:rsidR="009D12B4" w:rsidRPr="009D12B4" w:rsidRDefault="009D12B4" w:rsidP="009D12B4">
      <w:pPr>
        <w:spacing w:after="0" w:line="240" w:lineRule="auto"/>
        <w:rPr>
          <w:rFonts w:ascii="Times New Roman" w:hAnsi="Times New Roman"/>
          <w:sz w:val="20"/>
          <w:szCs w:val="20"/>
        </w:rPr>
      </w:pPr>
      <w:proofErr w:type="gramStart"/>
      <w:r w:rsidRPr="009D12B4">
        <w:rPr>
          <w:rFonts w:ascii="Times New Roman" w:hAnsi="Times New Roman"/>
          <w:sz w:val="20"/>
          <w:szCs w:val="20"/>
        </w:rPr>
        <w:t>class(</w:t>
      </w:r>
      <w:proofErr w:type="spellStart"/>
      <w:proofErr w:type="gramEnd"/>
      <w:r w:rsidRPr="009D12B4">
        <w:rPr>
          <w:rFonts w:ascii="Times New Roman" w:hAnsi="Times New Roman"/>
          <w:sz w:val="20"/>
          <w:szCs w:val="20"/>
        </w:rPr>
        <w:t>ConstU_W</w:t>
      </w:r>
      <w:proofErr w:type="spellEnd"/>
      <w:r w:rsidRPr="009D12B4">
        <w:rPr>
          <w:rFonts w:ascii="Times New Roman" w:hAnsi="Times New Roman"/>
          <w:sz w:val="20"/>
          <w:szCs w:val="20"/>
        </w:rPr>
        <w:t>)&lt;-"MP"</w:t>
      </w:r>
    </w:p>
    <w:p w14:paraId="293CABAD" w14:textId="77777777" w:rsidR="009D12B4" w:rsidRPr="009D12B4" w:rsidRDefault="009D12B4" w:rsidP="009D12B4">
      <w:pPr>
        <w:spacing w:after="0" w:line="240" w:lineRule="auto"/>
        <w:rPr>
          <w:rFonts w:ascii="Times New Roman" w:hAnsi="Times New Roman"/>
          <w:sz w:val="20"/>
          <w:szCs w:val="20"/>
        </w:rPr>
      </w:pPr>
    </w:p>
    <w:p w14:paraId="1792DFEC" w14:textId="77777777" w:rsidR="009D12B4" w:rsidRPr="009D12B4" w:rsidRDefault="009D12B4" w:rsidP="009D12B4">
      <w:pPr>
        <w:spacing w:after="0" w:line="240" w:lineRule="auto"/>
        <w:rPr>
          <w:rFonts w:ascii="Times New Roman" w:hAnsi="Times New Roman"/>
          <w:sz w:val="20"/>
          <w:szCs w:val="20"/>
        </w:rPr>
      </w:pPr>
      <w:proofErr w:type="spellStart"/>
      <w:r w:rsidRPr="009D12B4">
        <w:rPr>
          <w:rFonts w:ascii="Times New Roman" w:hAnsi="Times New Roman"/>
          <w:sz w:val="20"/>
          <w:szCs w:val="20"/>
        </w:rPr>
        <w:t>ConstU_E</w:t>
      </w:r>
      <w:proofErr w:type="spellEnd"/>
      <w:r w:rsidRPr="009D12B4">
        <w:rPr>
          <w:rFonts w:ascii="Times New Roman" w:hAnsi="Times New Roman"/>
          <w:sz w:val="20"/>
          <w:szCs w:val="20"/>
        </w:rPr>
        <w:t xml:space="preserve"> &lt;- function(</w:t>
      </w:r>
      <w:proofErr w:type="gramStart"/>
      <w:r w:rsidRPr="009D12B4">
        <w:rPr>
          <w:rFonts w:ascii="Times New Roman" w:hAnsi="Times New Roman"/>
          <w:sz w:val="20"/>
          <w:szCs w:val="20"/>
        </w:rPr>
        <w:t>x,dset</w:t>
      </w:r>
      <w:proofErr w:type="gramEnd"/>
      <w:r w:rsidRPr="009D12B4">
        <w:rPr>
          <w:rFonts w:ascii="Times New Roman" w:hAnsi="Times New Roman"/>
          <w:sz w:val="20"/>
          <w:szCs w:val="20"/>
        </w:rPr>
        <w:t xml:space="preserve">,IndexE=c(2,6),yrs4mean=3,target_yr=54,deltaE_up=0.2, </w:t>
      </w:r>
      <w:proofErr w:type="spellStart"/>
      <w:r w:rsidRPr="009D12B4">
        <w:rPr>
          <w:rFonts w:ascii="Times New Roman" w:hAnsi="Times New Roman"/>
          <w:sz w:val="20"/>
          <w:szCs w:val="20"/>
        </w:rPr>
        <w:t>deltaE_down</w:t>
      </w:r>
      <w:proofErr w:type="spellEnd"/>
      <w:r w:rsidRPr="009D12B4">
        <w:rPr>
          <w:rFonts w:ascii="Times New Roman" w:hAnsi="Times New Roman"/>
          <w:sz w:val="20"/>
          <w:szCs w:val="20"/>
        </w:rPr>
        <w:t>=0.3,multiplierE=</w:t>
      </w:r>
      <w:proofErr w:type="spellStart"/>
      <w:r w:rsidRPr="009D12B4">
        <w:rPr>
          <w:rFonts w:ascii="Times New Roman" w:hAnsi="Times New Roman"/>
          <w:sz w:val="20"/>
          <w:szCs w:val="20"/>
        </w:rPr>
        <w:t>tune_parE,Method</w:t>
      </w:r>
      <w:proofErr w:type="spellEnd"/>
      <w:r w:rsidRPr="009D12B4">
        <w:rPr>
          <w:rFonts w:ascii="Times New Roman" w:hAnsi="Times New Roman"/>
          <w:sz w:val="20"/>
          <w:szCs w:val="20"/>
        </w:rPr>
        <w:t>="mean")</w:t>
      </w:r>
    </w:p>
    <w:p w14:paraId="78A50C9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6EDFFA7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phase_down</w:t>
      </w:r>
      <w:proofErr w:type="spellEnd"/>
      <w:r w:rsidRPr="009D12B4">
        <w:rPr>
          <w:rFonts w:ascii="Times New Roman" w:hAnsi="Times New Roman"/>
          <w:sz w:val="20"/>
          <w:szCs w:val="20"/>
        </w:rPr>
        <w:t>=0.1</w:t>
      </w:r>
    </w:p>
    <w:p w14:paraId="2199186D" w14:textId="77777777" w:rsidR="009D12B4" w:rsidRPr="009D12B4" w:rsidRDefault="009D12B4" w:rsidP="009D12B4">
      <w:pPr>
        <w:spacing w:after="0" w:line="240" w:lineRule="auto"/>
        <w:rPr>
          <w:rFonts w:ascii="Times New Roman" w:hAnsi="Times New Roman"/>
          <w:sz w:val="20"/>
          <w:szCs w:val="20"/>
        </w:rPr>
      </w:pPr>
    </w:p>
    <w:p w14:paraId="094ADC0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target_yrs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target_yr</w:t>
      </w:r>
      <w:proofErr w:type="spellEnd"/>
      <w:r w:rsidRPr="009D12B4">
        <w:rPr>
          <w:rFonts w:ascii="Times New Roman" w:hAnsi="Times New Roman"/>
          <w:sz w:val="20"/>
          <w:szCs w:val="20"/>
        </w:rPr>
        <w:t>-(yrs4mean-1):0</w:t>
      </w:r>
    </w:p>
    <w:p w14:paraId="17E8990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 xml:space="preserve">Ny =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
    <w:p w14:paraId="5143146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p>
    <w:p w14:paraId="1573A1F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gramStart"/>
      <w:r w:rsidRPr="009D12B4">
        <w:rPr>
          <w:rFonts w:ascii="Times New Roman" w:hAnsi="Times New Roman"/>
          <w:sz w:val="20"/>
          <w:szCs w:val="20"/>
        </w:rPr>
        <w:t>matrix(</w:t>
      </w:r>
      <w:proofErr w:type="spellStart"/>
      <w:proofErr w:type="gramEnd"/>
      <w:r w:rsidRPr="009D12B4">
        <w:rPr>
          <w:rFonts w:ascii="Times New Roman" w:hAnsi="Times New Roman"/>
          <w:sz w:val="20"/>
          <w:szCs w:val="20"/>
        </w:rPr>
        <w:t>nrow</w:t>
      </w:r>
      <w:proofErr w:type="spellEnd"/>
      <w:r w:rsidRPr="009D12B4">
        <w:rPr>
          <w:rFonts w:ascii="Times New Roman" w:hAnsi="Times New Roman"/>
          <w:sz w:val="20"/>
          <w:szCs w:val="20"/>
        </w:rPr>
        <w:t xml:space="preserve">=1, </w:t>
      </w:r>
      <w:proofErr w:type="spellStart"/>
      <w:r w:rsidRPr="009D12B4">
        <w:rPr>
          <w:rFonts w:ascii="Times New Roman" w:hAnsi="Times New Roman"/>
          <w:sz w:val="20"/>
          <w:szCs w:val="20"/>
        </w:rPr>
        <w:t>ncol</w:t>
      </w:r>
      <w:proofErr w:type="spellEnd"/>
      <w:r w:rsidRPr="009D12B4">
        <w:rPr>
          <w:rFonts w:ascii="Times New Roman" w:hAnsi="Times New Roman"/>
          <w:sz w:val="20"/>
          <w:szCs w:val="20"/>
        </w:rPr>
        <w:t>=length(</w:t>
      </w:r>
      <w:proofErr w:type="spellStart"/>
      <w:r w:rsidRPr="009D12B4">
        <w:rPr>
          <w:rFonts w:ascii="Times New Roman" w:hAnsi="Times New Roman"/>
          <w:sz w:val="20"/>
          <w:szCs w:val="20"/>
        </w:rPr>
        <w:t>IndexE</w:t>
      </w:r>
      <w:proofErr w:type="spellEnd"/>
      <w:r w:rsidRPr="009D12B4">
        <w:rPr>
          <w:rFonts w:ascii="Times New Roman" w:hAnsi="Times New Roman"/>
          <w:sz w:val="20"/>
          <w:szCs w:val="20"/>
        </w:rPr>
        <w:t>))</w:t>
      </w:r>
    </w:p>
    <w:p w14:paraId="1019710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gramStart"/>
      <w:r w:rsidRPr="009D12B4">
        <w:rPr>
          <w:rFonts w:ascii="Times New Roman" w:hAnsi="Times New Roman"/>
          <w:sz w:val="20"/>
          <w:szCs w:val="20"/>
        </w:rPr>
        <w:t>for(</w:t>
      </w:r>
      <w:proofErr w:type="spellStart"/>
      <w:proofErr w:type="gramEnd"/>
      <w:r w:rsidRPr="009D12B4">
        <w:rPr>
          <w:rFonts w:ascii="Times New Roman" w:hAnsi="Times New Roman"/>
          <w:sz w:val="20"/>
          <w:szCs w:val="20"/>
        </w:rPr>
        <w:t>i</w:t>
      </w:r>
      <w:proofErr w:type="spellEnd"/>
      <w:r w:rsidRPr="009D12B4">
        <w:rPr>
          <w:rFonts w:ascii="Times New Roman" w:hAnsi="Times New Roman"/>
          <w:sz w:val="20"/>
          <w:szCs w:val="20"/>
        </w:rPr>
        <w:t xml:space="preserve"> in 1:length(</w:t>
      </w:r>
      <w:proofErr w:type="spellStart"/>
      <w:r w:rsidRPr="009D12B4">
        <w:rPr>
          <w:rFonts w:ascii="Times New Roman" w:hAnsi="Times New Roman"/>
          <w:sz w:val="20"/>
          <w:szCs w:val="20"/>
        </w:rPr>
        <w:t>IndexE</w:t>
      </w:r>
      <w:proofErr w:type="spellEnd"/>
      <w:r w:rsidRPr="009D12B4">
        <w:rPr>
          <w:rFonts w:ascii="Times New Roman" w:hAnsi="Times New Roman"/>
          <w:sz w:val="20"/>
          <w:szCs w:val="20"/>
        </w:rPr>
        <w:t>))</w:t>
      </w:r>
    </w:p>
    <w:p w14:paraId="3B12BDE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590C8AB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targetI=mean(dset$Iobs[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[i],target_yrs],na.rm=TRUE)/mean(dset$Iobs[x,IndexE[i],1:target_yr],na.rm=TRUE)</w:t>
      </w:r>
    </w:p>
    <w:p w14:paraId="51320D4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x,target</w:t>
      </w:r>
      <w:proofErr w:type="gramEnd"/>
      <w:r w:rsidRPr="009D12B4">
        <w:rPr>
          <w:rFonts w:ascii="Times New Roman" w:hAnsi="Times New Roman"/>
          <w:sz w:val="20"/>
          <w:szCs w:val="20"/>
        </w:rPr>
        <w:t>_yrs</w:t>
      </w:r>
      <w:proofErr w:type="spellEnd"/>
      <w:r w:rsidRPr="009D12B4">
        <w:rPr>
          <w:rFonts w:ascii="Times New Roman" w:hAnsi="Times New Roman"/>
          <w:sz w:val="20"/>
          <w:szCs w:val="20"/>
        </w:rPr>
        <w:t>],na.rm=TRUE)</w:t>
      </w:r>
    </w:p>
    <w:p w14:paraId="0834609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multiplierE</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targetC</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targetI</w:t>
      </w:r>
      <w:proofErr w:type="spellEnd"/>
      <w:r w:rsidRPr="009D12B4">
        <w:rPr>
          <w:rFonts w:ascii="Times New Roman" w:hAnsi="Times New Roman"/>
          <w:sz w:val="20"/>
          <w:szCs w:val="20"/>
        </w:rPr>
        <w:t>)</w:t>
      </w:r>
    </w:p>
    <w:p w14:paraId="5C6A6E1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=dim(</w:t>
      </w:r>
      <w:proofErr w:type="spellStart"/>
      <w:r w:rsidRPr="009D12B4">
        <w:rPr>
          <w:rFonts w:ascii="Times New Roman" w:hAnsi="Times New Roman"/>
          <w:sz w:val="20"/>
          <w:szCs w:val="20"/>
        </w:rPr>
        <w:t>dset$</w:t>
      </w:r>
      <w:proofErr w:type="gramStart"/>
      <w:r w:rsidRPr="009D12B4">
        <w:rPr>
          <w:rFonts w:ascii="Times New Roman" w:hAnsi="Times New Roman"/>
          <w:sz w:val="20"/>
          <w:szCs w:val="20"/>
        </w:rPr>
        <w:t>Iobs</w:t>
      </w:r>
      <w:proofErr w:type="spellEnd"/>
      <w:r w:rsidRPr="009D12B4">
        <w:rPr>
          <w:rFonts w:ascii="Times New Roman" w:hAnsi="Times New Roman"/>
          <w:sz w:val="20"/>
          <w:szCs w:val="20"/>
        </w:rPr>
        <w:t>)[</w:t>
      </w:r>
      <w:proofErr w:type="gramEnd"/>
      <w:r w:rsidRPr="009D12B4">
        <w:rPr>
          <w:rFonts w:ascii="Times New Roman" w:hAnsi="Times New Roman"/>
          <w:sz w:val="20"/>
          <w:szCs w:val="20"/>
        </w:rPr>
        <w:t>3]</w:t>
      </w:r>
    </w:p>
    <w:p w14:paraId="7A0EAED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datayrs</w:t>
      </w:r>
      <w:proofErr w:type="spellEnd"/>
      <w:r w:rsidRPr="009D12B4">
        <w:rPr>
          <w:rFonts w:ascii="Times New Roman" w:hAnsi="Times New Roman"/>
          <w:sz w:val="20"/>
          <w:szCs w:val="20"/>
        </w:rPr>
        <w:t>=</w:t>
      </w:r>
      <w:proofErr w:type="spellStart"/>
      <w:r w:rsidRPr="009D12B4">
        <w:rPr>
          <w:rFonts w:ascii="Times New Roman" w:hAnsi="Times New Roman"/>
          <w:sz w:val="20"/>
          <w:szCs w:val="20"/>
        </w:rPr>
        <w:t>lastyr</w:t>
      </w:r>
      <w:proofErr w:type="spellEnd"/>
      <w:r w:rsidRPr="009D12B4">
        <w:rPr>
          <w:rFonts w:ascii="Times New Roman" w:hAnsi="Times New Roman"/>
          <w:sz w:val="20"/>
          <w:szCs w:val="20"/>
        </w:rPr>
        <w:t>-(yrs4mean-1):0</w:t>
      </w:r>
    </w:p>
    <w:p w14:paraId="20564E5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curI=mean(dset$Iobs[</w:t>
      </w:r>
      <w:proofErr w:type="gramStart"/>
      <w:r w:rsidRPr="009D12B4">
        <w:rPr>
          <w:rFonts w:ascii="Times New Roman" w:hAnsi="Times New Roman"/>
          <w:sz w:val="20"/>
          <w:szCs w:val="20"/>
        </w:rPr>
        <w:t>x,IndexE</w:t>
      </w:r>
      <w:proofErr w:type="gramEnd"/>
      <w:r w:rsidRPr="009D12B4">
        <w:rPr>
          <w:rFonts w:ascii="Times New Roman" w:hAnsi="Times New Roman"/>
          <w:sz w:val="20"/>
          <w:szCs w:val="20"/>
        </w:rPr>
        <w:t>[i],datayrs],na.rm=TRUE)/mean(dset$Iobs[x,IndexE[i],1:target_yr],na.rm=TRUE)</w:t>
      </w:r>
    </w:p>
    <w:p w14:paraId="2A073598"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=mean(</w:t>
      </w:r>
      <w:proofErr w:type="spellStart"/>
      <w:r w:rsidRPr="009D12B4">
        <w:rPr>
          <w:rFonts w:ascii="Times New Roman" w:hAnsi="Times New Roman"/>
          <w:sz w:val="20"/>
          <w:szCs w:val="20"/>
        </w:rPr>
        <w:t>dset$Cobs</w:t>
      </w:r>
      <w:proofErr w:type="spellEnd"/>
      <w:r w:rsidRPr="009D12B4">
        <w:rPr>
          <w:rFonts w:ascii="Times New Roman" w:hAnsi="Times New Roman"/>
          <w:sz w:val="20"/>
          <w:szCs w:val="20"/>
        </w:rPr>
        <w:t>[</w:t>
      </w:r>
      <w:proofErr w:type="spellStart"/>
      <w:proofErr w:type="gramStart"/>
      <w:r w:rsidRPr="009D12B4">
        <w:rPr>
          <w:rFonts w:ascii="Times New Roman" w:hAnsi="Times New Roman"/>
          <w:sz w:val="20"/>
          <w:szCs w:val="20"/>
        </w:rPr>
        <w:t>x,datayrs</w:t>
      </w:r>
      <w:proofErr w:type="spellEnd"/>
      <w:proofErr w:type="gramEnd"/>
      <w:r w:rsidRPr="009D12B4">
        <w:rPr>
          <w:rFonts w:ascii="Times New Roman" w:hAnsi="Times New Roman"/>
          <w:sz w:val="20"/>
          <w:szCs w:val="20"/>
        </w:rPr>
        <w:t>],na.rm=TRUE)</w:t>
      </w:r>
    </w:p>
    <w:p w14:paraId="719FDC9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curU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curC</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curI</w:t>
      </w:r>
      <w:proofErr w:type="spellEnd"/>
    </w:p>
    <w:p w14:paraId="1CDE549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roofErr w:type="spellStart"/>
      <w:r w:rsidRPr="009D12B4">
        <w:rPr>
          <w:rFonts w:ascii="Times New Roman" w:hAnsi="Times New Roman"/>
          <w:sz w:val="20"/>
          <w:szCs w:val="20"/>
        </w:rPr>
        <w:t>delta_ratios</w:t>
      </w:r>
      <w:proofErr w:type="spellEnd"/>
      <w:r w:rsidRPr="009D12B4">
        <w:rPr>
          <w:rFonts w:ascii="Times New Roman" w:hAnsi="Times New Roman"/>
          <w:sz w:val="20"/>
          <w:szCs w:val="20"/>
        </w:rPr>
        <w:t>[</w:t>
      </w:r>
      <w:proofErr w:type="spellStart"/>
      <w:r w:rsidRPr="009D12B4">
        <w:rPr>
          <w:rFonts w:ascii="Times New Roman" w:hAnsi="Times New Roman"/>
          <w:sz w:val="20"/>
          <w:szCs w:val="20"/>
        </w:rPr>
        <w:t>i</w:t>
      </w:r>
      <w:proofErr w:type="spellEnd"/>
      <w:r w:rsidRPr="009D12B4">
        <w:rPr>
          <w:rFonts w:ascii="Times New Roman" w:hAnsi="Times New Roman"/>
          <w:sz w:val="20"/>
          <w:szCs w:val="20"/>
        </w:rPr>
        <w:t>]=</w:t>
      </w:r>
      <w:proofErr w:type="spellStart"/>
      <w:r w:rsidRPr="009D12B4">
        <w:rPr>
          <w:rFonts w:ascii="Times New Roman" w:hAnsi="Times New Roman"/>
          <w:sz w:val="20"/>
          <w:szCs w:val="20"/>
        </w:rPr>
        <w:t>targetU</w:t>
      </w:r>
      <w:proofErr w:type="spellEnd"/>
      <w:r w:rsidRPr="009D12B4">
        <w:rPr>
          <w:rFonts w:ascii="Times New Roman" w:hAnsi="Times New Roman"/>
          <w:sz w:val="20"/>
          <w:szCs w:val="20"/>
        </w:rPr>
        <w:t>/</w:t>
      </w:r>
      <w:proofErr w:type="spellStart"/>
      <w:r w:rsidRPr="009D12B4">
        <w:rPr>
          <w:rFonts w:ascii="Times New Roman" w:hAnsi="Times New Roman"/>
          <w:sz w:val="20"/>
          <w:szCs w:val="20"/>
        </w:rPr>
        <w:t>curU</w:t>
      </w:r>
      <w:proofErr w:type="spellEnd"/>
    </w:p>
    <w:p w14:paraId="185EEBB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0C855EF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=apply(delta_ratios,</w:t>
      </w:r>
      <w:proofErr w:type="gramStart"/>
      <w:r w:rsidRPr="009D12B4">
        <w:rPr>
          <w:rFonts w:ascii="Times New Roman" w:hAnsi="Times New Roman"/>
          <w:sz w:val="20"/>
          <w:szCs w:val="20"/>
        </w:rPr>
        <w:t>1,FUN</w:t>
      </w:r>
      <w:proofErr w:type="gramEnd"/>
      <w:r w:rsidRPr="009D12B4">
        <w:rPr>
          <w:rFonts w:ascii="Times New Roman" w:hAnsi="Times New Roman"/>
          <w:sz w:val="20"/>
          <w:szCs w:val="20"/>
        </w:rPr>
        <w:t>=Method)</w:t>
      </w:r>
    </w:p>
    <w:p w14:paraId="7398E5E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p>
    <w:p w14:paraId="4BB87CE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 xml:space="preserve"> = </w:t>
      </w:r>
      <w:proofErr w:type="spellStart"/>
      <w:r w:rsidRPr="009D12B4">
        <w:rPr>
          <w:rFonts w:ascii="Times New Roman" w:hAnsi="Times New Roman"/>
          <w:sz w:val="20"/>
          <w:szCs w:val="20"/>
        </w:rPr>
        <w:t>dset$MPrec</w:t>
      </w:r>
      <w:proofErr w:type="spellEnd"/>
      <w:r w:rsidRPr="009D12B4">
        <w:rPr>
          <w:rFonts w:ascii="Times New Roman" w:hAnsi="Times New Roman"/>
          <w:sz w:val="20"/>
          <w:szCs w:val="20"/>
        </w:rPr>
        <w:t>[x]</w:t>
      </w:r>
    </w:p>
    <w:p w14:paraId="7F9D57F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proofErr w:type="gramStart"/>
      <w:r w:rsidRPr="009D12B4">
        <w:rPr>
          <w:rFonts w:ascii="Times New Roman" w:hAnsi="Times New Roman"/>
          <w:sz w:val="20"/>
          <w:szCs w:val="20"/>
        </w:rPr>
        <w:t>if(</w:t>
      </w:r>
      <w:proofErr w:type="gramEnd"/>
      <w:r w:rsidRPr="009D12B4">
        <w:rPr>
          <w:rFonts w:ascii="Times New Roman" w:hAnsi="Times New Roman"/>
          <w:sz w:val="20"/>
          <w:szCs w:val="20"/>
        </w:rPr>
        <w:t>Ny&lt;59)</w:t>
      </w:r>
    </w:p>
    <w:p w14:paraId="52440CE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17AFA4B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484E5C5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r w:rsidRPr="009D12B4">
        <w:rPr>
          <w:rFonts w:ascii="Times New Roman" w:hAnsi="Times New Roman"/>
          <w:sz w:val="20"/>
          <w:szCs w:val="20"/>
        </w:rPr>
        <w:tab/>
      </w:r>
    </w:p>
    <w:p w14:paraId="013A46DD"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*(1-phase_down))</w:t>
      </w:r>
    </w:p>
    <w:p w14:paraId="33BD2F0E"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BC2EA59"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7FA561DC"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06A83162"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*(1+deltaE_up))</w:t>
      </w:r>
    </w:p>
    <w:p w14:paraId="7D7B24D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841145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73B604F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else</w:t>
      </w:r>
    </w:p>
    <w:p w14:paraId="28E9CDA7"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2C8349A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if(</w:t>
      </w:r>
      <w:proofErr w:type="spellStart"/>
      <w:r w:rsidRPr="009D12B4">
        <w:rPr>
          <w:rFonts w:ascii="Times New Roman" w:hAnsi="Times New Roman"/>
          <w:sz w:val="20"/>
          <w:szCs w:val="20"/>
        </w:rPr>
        <w:t>delta_ratio</w:t>
      </w:r>
      <w:proofErr w:type="spellEnd"/>
      <w:r w:rsidRPr="009D12B4">
        <w:rPr>
          <w:rFonts w:ascii="Times New Roman" w:hAnsi="Times New Roman"/>
          <w:sz w:val="20"/>
          <w:szCs w:val="20"/>
        </w:rPr>
        <w:t>&lt;1)</w:t>
      </w:r>
    </w:p>
    <w:p w14:paraId="43AC3D5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r w:rsidRPr="009D12B4">
        <w:rPr>
          <w:rFonts w:ascii="Times New Roman" w:hAnsi="Times New Roman"/>
          <w:sz w:val="20"/>
          <w:szCs w:val="20"/>
        </w:rPr>
        <w:tab/>
      </w:r>
    </w:p>
    <w:p w14:paraId="41B91D20"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TAC=max(</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*(1-deltaE_down))</w:t>
      </w:r>
    </w:p>
    <w:p w14:paraId="759F2026"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74A1559A"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else</w:t>
      </w:r>
    </w:p>
    <w:p w14:paraId="6C5DE243"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68BE2524"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 xml:space="preserve">    </w:t>
      </w: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TAC=min(</w:t>
      </w:r>
      <w:proofErr w:type="spellStart"/>
      <w:r w:rsidRPr="009D12B4">
        <w:rPr>
          <w:rFonts w:ascii="Times New Roman" w:hAnsi="Times New Roman"/>
          <w:sz w:val="20"/>
          <w:szCs w:val="20"/>
        </w:rPr>
        <w:t>oldTAC</w:t>
      </w:r>
      <w:proofErr w:type="spellEnd"/>
      <w:r w:rsidRPr="009D12B4">
        <w:rPr>
          <w:rFonts w:ascii="Times New Roman" w:hAnsi="Times New Roman"/>
          <w:sz w:val="20"/>
          <w:szCs w:val="20"/>
        </w:rPr>
        <w:t>*</w:t>
      </w:r>
      <w:proofErr w:type="spellStart"/>
      <w:r w:rsidRPr="009D12B4">
        <w:rPr>
          <w:rFonts w:ascii="Times New Roman" w:hAnsi="Times New Roman"/>
          <w:sz w:val="20"/>
          <w:szCs w:val="20"/>
        </w:rPr>
        <w:t>delta_</w:t>
      </w:r>
      <w:proofErr w:type="gramStart"/>
      <w:r w:rsidRPr="009D12B4">
        <w:rPr>
          <w:rFonts w:ascii="Times New Roman" w:hAnsi="Times New Roman"/>
          <w:sz w:val="20"/>
          <w:szCs w:val="20"/>
        </w:rPr>
        <w:t>ratio,oldTAC</w:t>
      </w:r>
      <w:proofErr w:type="spellEnd"/>
      <w:proofErr w:type="gramEnd"/>
      <w:r w:rsidRPr="009D12B4">
        <w:rPr>
          <w:rFonts w:ascii="Times New Roman" w:hAnsi="Times New Roman"/>
          <w:sz w:val="20"/>
          <w:szCs w:val="20"/>
        </w:rPr>
        <w:t>*(1+deltaE_up))</w:t>
      </w:r>
    </w:p>
    <w:p w14:paraId="61A3B93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r w:rsidRPr="009D12B4">
        <w:rPr>
          <w:rFonts w:ascii="Times New Roman" w:hAnsi="Times New Roman"/>
          <w:sz w:val="20"/>
          <w:szCs w:val="20"/>
        </w:rPr>
        <w:tab/>
        <w:t>}</w:t>
      </w:r>
    </w:p>
    <w:p w14:paraId="61050C01"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t>}</w:t>
      </w:r>
    </w:p>
    <w:p w14:paraId="19AA75D5" w14:textId="77777777" w:rsidR="009D12B4" w:rsidRPr="009D12B4" w:rsidRDefault="009D12B4" w:rsidP="009D12B4">
      <w:pPr>
        <w:spacing w:after="0" w:line="240" w:lineRule="auto"/>
        <w:rPr>
          <w:rFonts w:ascii="Times New Roman" w:hAnsi="Times New Roman"/>
          <w:sz w:val="20"/>
          <w:szCs w:val="20"/>
        </w:rPr>
      </w:pPr>
    </w:p>
    <w:p w14:paraId="3B771C55"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r>
      <w:r w:rsidRPr="009D12B4">
        <w:rPr>
          <w:rFonts w:ascii="Times New Roman" w:hAnsi="Times New Roman"/>
          <w:sz w:val="20"/>
          <w:szCs w:val="20"/>
        </w:rPr>
        <w:tab/>
      </w:r>
    </w:p>
    <w:p w14:paraId="6386CC4F" w14:textId="77777777" w:rsidR="009D12B4" w:rsidRPr="009D12B4"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ab/>
        <w:t>}</w:t>
      </w:r>
    </w:p>
    <w:p w14:paraId="4558CDF6" w14:textId="77777777" w:rsidR="009D12B4" w:rsidRPr="009D12B4" w:rsidRDefault="009D12B4" w:rsidP="009D12B4">
      <w:pPr>
        <w:spacing w:after="0" w:line="240" w:lineRule="auto"/>
        <w:rPr>
          <w:rFonts w:ascii="Times New Roman" w:hAnsi="Times New Roman"/>
          <w:sz w:val="20"/>
          <w:szCs w:val="20"/>
        </w:rPr>
      </w:pPr>
      <w:proofErr w:type="gramStart"/>
      <w:r w:rsidRPr="009D12B4">
        <w:rPr>
          <w:rFonts w:ascii="Times New Roman" w:hAnsi="Times New Roman"/>
          <w:sz w:val="20"/>
          <w:szCs w:val="20"/>
        </w:rPr>
        <w:t>class(</w:t>
      </w:r>
      <w:proofErr w:type="spellStart"/>
      <w:proofErr w:type="gramEnd"/>
      <w:r w:rsidRPr="009D12B4">
        <w:rPr>
          <w:rFonts w:ascii="Times New Roman" w:hAnsi="Times New Roman"/>
          <w:sz w:val="20"/>
          <w:szCs w:val="20"/>
        </w:rPr>
        <w:t>ConstU_E</w:t>
      </w:r>
      <w:proofErr w:type="spellEnd"/>
      <w:r w:rsidRPr="009D12B4">
        <w:rPr>
          <w:rFonts w:ascii="Times New Roman" w:hAnsi="Times New Roman"/>
          <w:sz w:val="20"/>
          <w:szCs w:val="20"/>
        </w:rPr>
        <w:t>)&lt;-"MP"</w:t>
      </w:r>
    </w:p>
    <w:p w14:paraId="7AE23958" w14:textId="77777777" w:rsidR="009D12B4" w:rsidRPr="009D12B4" w:rsidRDefault="009D12B4" w:rsidP="009D12B4">
      <w:pPr>
        <w:spacing w:after="0" w:line="240" w:lineRule="auto"/>
        <w:rPr>
          <w:rFonts w:ascii="Times New Roman" w:hAnsi="Times New Roman"/>
          <w:sz w:val="20"/>
          <w:szCs w:val="20"/>
        </w:rPr>
      </w:pPr>
    </w:p>
    <w:p w14:paraId="5CDE21E2" w14:textId="53BEE326" w:rsidR="009D12B4" w:rsidRPr="009E10AF" w:rsidRDefault="009D12B4" w:rsidP="009D12B4">
      <w:pPr>
        <w:spacing w:after="0" w:line="240" w:lineRule="auto"/>
        <w:rPr>
          <w:rFonts w:ascii="Times New Roman" w:hAnsi="Times New Roman"/>
          <w:sz w:val="20"/>
          <w:szCs w:val="20"/>
        </w:rPr>
      </w:pPr>
      <w:r w:rsidRPr="009D12B4">
        <w:rPr>
          <w:rFonts w:ascii="Times New Roman" w:hAnsi="Times New Roman"/>
          <w:sz w:val="20"/>
          <w:szCs w:val="20"/>
        </w:rPr>
        <w:t>NOAA_CMPs&lt;-list(c('ConstU_E','</w:t>
      </w:r>
      <w:proofErr w:type="spellStart"/>
      <w:r w:rsidRPr="009D12B4">
        <w:rPr>
          <w:rFonts w:ascii="Times New Roman" w:hAnsi="Times New Roman"/>
          <w:sz w:val="20"/>
          <w:szCs w:val="20"/>
        </w:rPr>
        <w:t>ConstU_W</w:t>
      </w:r>
      <w:proofErr w:type="spellEnd"/>
      <w:r w:rsidRPr="009D12B4">
        <w:rPr>
          <w:rFonts w:ascii="Times New Roman" w:hAnsi="Times New Roman"/>
          <w:sz w:val="20"/>
          <w:szCs w:val="20"/>
        </w:rPr>
        <w:t>'))</w:t>
      </w:r>
    </w:p>
    <w:p w14:paraId="67154CB5" w14:textId="577F9E1D" w:rsidR="00EA05BA" w:rsidRPr="009E10AF" w:rsidRDefault="00EA05BA" w:rsidP="009D12B4">
      <w:pPr>
        <w:spacing w:after="0" w:line="240" w:lineRule="auto"/>
        <w:rPr>
          <w:rFonts w:ascii="Times New Roman" w:hAnsi="Times New Roman"/>
          <w:color w:val="000000"/>
          <w:sz w:val="20"/>
          <w:szCs w:val="20"/>
        </w:rPr>
      </w:pPr>
    </w:p>
    <w:sectPr w:rsidR="00EA05BA" w:rsidRPr="009E10AF" w:rsidSect="008F0A46">
      <w:head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1660D" w14:textId="77777777" w:rsidR="00801856" w:rsidRDefault="00801856" w:rsidP="00D37253">
      <w:pPr>
        <w:spacing w:after="0" w:line="240" w:lineRule="auto"/>
      </w:pPr>
      <w:r>
        <w:separator/>
      </w:r>
    </w:p>
  </w:endnote>
  <w:endnote w:type="continuationSeparator" w:id="0">
    <w:p w14:paraId="43C8610A" w14:textId="77777777" w:rsidR="00801856" w:rsidRDefault="00801856" w:rsidP="00D3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D30F6" w14:textId="77777777" w:rsidR="00801856" w:rsidRDefault="00801856" w:rsidP="00D37253">
      <w:pPr>
        <w:spacing w:after="0" w:line="240" w:lineRule="auto"/>
      </w:pPr>
      <w:r>
        <w:separator/>
      </w:r>
    </w:p>
  </w:footnote>
  <w:footnote w:type="continuationSeparator" w:id="0">
    <w:p w14:paraId="2B681A87" w14:textId="77777777" w:rsidR="00801856" w:rsidRDefault="00801856" w:rsidP="00D37253">
      <w:pPr>
        <w:spacing w:after="0" w:line="240" w:lineRule="auto"/>
      </w:pPr>
      <w:r>
        <w:continuationSeparator/>
      </w:r>
    </w:p>
  </w:footnote>
  <w:footnote w:id="1">
    <w:p w14:paraId="552D9BC8" w14:textId="77777777" w:rsidR="00DD1C4B" w:rsidRDefault="00DD1C4B" w:rsidP="00DD1C4B">
      <w:pPr>
        <w:pStyle w:val="FootnoteText"/>
      </w:pPr>
      <w:r>
        <w:rPr>
          <w:rStyle w:val="FootnoteReference"/>
        </w:rPr>
        <w:footnoteRef/>
      </w:r>
      <w:r>
        <w:t xml:space="preserve"> </w:t>
      </w:r>
      <w:r>
        <w:rPr>
          <w:sz w:val="16"/>
        </w:rPr>
        <w:t>NOAA Fisheries, Southeast Fisheries Science Center, Sustainable Fisheries Division, 75 Virginia Beach Drive, Miami, FL, 33149-1099, USA.  E-mail: matthew.lauretta@noaa.gov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04004" w14:textId="210DF2C6" w:rsidR="0057046F" w:rsidRPr="00CF1EF3" w:rsidRDefault="0057046F" w:rsidP="007B1ECB">
    <w:pPr>
      <w:pStyle w:val="Header"/>
      <w:rPr>
        <w:rFonts w:ascii="Arial" w:hAnsi="Arial" w:cs="Arial"/>
        <w:sz w:val="20"/>
        <w:szCs w:val="20"/>
      </w:rPr>
    </w:pPr>
    <w:r>
      <w:rPr>
        <w:rFonts w:ascii="Arial" w:hAnsi="Arial" w:cs="Arial"/>
        <w:sz w:val="20"/>
        <w:szCs w:val="20"/>
      </w:rPr>
      <w:t>SCRS/</w:t>
    </w:r>
    <w:r w:rsidR="00B3689A">
      <w:rPr>
        <w:rFonts w:ascii="Arial" w:hAnsi="Arial" w:cs="Arial"/>
        <w:sz w:val="20"/>
        <w:szCs w:val="20"/>
      </w:rPr>
      <w:t>202</w:t>
    </w:r>
    <w:r w:rsidR="00DD1C4B">
      <w:rPr>
        <w:rFonts w:ascii="Arial" w:hAnsi="Arial" w:cs="Arial"/>
        <w:sz w:val="20"/>
        <w:szCs w:val="20"/>
      </w:rPr>
      <w:t>2</w:t>
    </w:r>
    <w:r>
      <w:rPr>
        <w:rFonts w:ascii="Arial" w:hAnsi="Arial" w:cs="Arial"/>
        <w:sz w:val="20"/>
        <w:szCs w:val="20"/>
      </w:rPr>
      <w:t>/</w:t>
    </w:r>
    <w:r w:rsidR="00B3689A">
      <w:rPr>
        <w:rFonts w:ascii="Arial" w:hAnsi="Arial" w:cs="Arial"/>
        <w:sz w:val="20"/>
        <w:szCs w:val="20"/>
      </w:rPr>
      <w:t>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32772"/>
    <w:multiLevelType w:val="hybridMultilevel"/>
    <w:tmpl w:val="D88E4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CD01F4"/>
    <w:multiLevelType w:val="hybridMultilevel"/>
    <w:tmpl w:val="4BEE6262"/>
    <w:lvl w:ilvl="0" w:tplc="42C868EA">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84968"/>
    <w:multiLevelType w:val="hybridMultilevel"/>
    <w:tmpl w:val="A95220E6"/>
    <w:lvl w:ilvl="0" w:tplc="6E6E02C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362F1"/>
    <w:multiLevelType w:val="hybridMultilevel"/>
    <w:tmpl w:val="EC644504"/>
    <w:lvl w:ilvl="0" w:tplc="0974EDB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D2F77"/>
    <w:multiLevelType w:val="hybridMultilevel"/>
    <w:tmpl w:val="9AB80548"/>
    <w:lvl w:ilvl="0" w:tplc="600AC3DE">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661"/>
    <w:rsid w:val="0000125F"/>
    <w:rsid w:val="0000439A"/>
    <w:rsid w:val="000047AF"/>
    <w:rsid w:val="00005657"/>
    <w:rsid w:val="00014077"/>
    <w:rsid w:val="00026EAC"/>
    <w:rsid w:val="00027B81"/>
    <w:rsid w:val="00030690"/>
    <w:rsid w:val="000321C8"/>
    <w:rsid w:val="00045E15"/>
    <w:rsid w:val="000500BA"/>
    <w:rsid w:val="00053C1D"/>
    <w:rsid w:val="000556B0"/>
    <w:rsid w:val="0005785B"/>
    <w:rsid w:val="00064297"/>
    <w:rsid w:val="00070EF6"/>
    <w:rsid w:val="000730E4"/>
    <w:rsid w:val="00074680"/>
    <w:rsid w:val="00076E75"/>
    <w:rsid w:val="000A7565"/>
    <w:rsid w:val="000B0869"/>
    <w:rsid w:val="000B158E"/>
    <w:rsid w:val="000B1BE1"/>
    <w:rsid w:val="000C1F39"/>
    <w:rsid w:val="000C4677"/>
    <w:rsid w:val="000C51E6"/>
    <w:rsid w:val="000C58D5"/>
    <w:rsid w:val="000D3CE8"/>
    <w:rsid w:val="000E049B"/>
    <w:rsid w:val="000E449B"/>
    <w:rsid w:val="000E53F3"/>
    <w:rsid w:val="000E7A4E"/>
    <w:rsid w:val="000F58C5"/>
    <w:rsid w:val="000F78EA"/>
    <w:rsid w:val="001066B5"/>
    <w:rsid w:val="001141B4"/>
    <w:rsid w:val="0011542D"/>
    <w:rsid w:val="00116A8A"/>
    <w:rsid w:val="00123A95"/>
    <w:rsid w:val="00126ECD"/>
    <w:rsid w:val="00130027"/>
    <w:rsid w:val="00130681"/>
    <w:rsid w:val="00132836"/>
    <w:rsid w:val="00132FCC"/>
    <w:rsid w:val="001375B2"/>
    <w:rsid w:val="00140EAA"/>
    <w:rsid w:val="00142F90"/>
    <w:rsid w:val="00144DBD"/>
    <w:rsid w:val="00147648"/>
    <w:rsid w:val="00153849"/>
    <w:rsid w:val="00165B36"/>
    <w:rsid w:val="00165D66"/>
    <w:rsid w:val="001662A2"/>
    <w:rsid w:val="0017322D"/>
    <w:rsid w:val="00180074"/>
    <w:rsid w:val="001851F5"/>
    <w:rsid w:val="0019494D"/>
    <w:rsid w:val="001960A6"/>
    <w:rsid w:val="00197926"/>
    <w:rsid w:val="001A1836"/>
    <w:rsid w:val="001B2AC1"/>
    <w:rsid w:val="001B326E"/>
    <w:rsid w:val="001B3D9F"/>
    <w:rsid w:val="001C4A62"/>
    <w:rsid w:val="001C6A72"/>
    <w:rsid w:val="001C6CB9"/>
    <w:rsid w:val="001D0049"/>
    <w:rsid w:val="001D5DAC"/>
    <w:rsid w:val="001E2692"/>
    <w:rsid w:val="001E68B1"/>
    <w:rsid w:val="001F157E"/>
    <w:rsid w:val="001F3323"/>
    <w:rsid w:val="0020004C"/>
    <w:rsid w:val="00202690"/>
    <w:rsid w:val="002122AE"/>
    <w:rsid w:val="00220C6F"/>
    <w:rsid w:val="00226F5A"/>
    <w:rsid w:val="00227C4B"/>
    <w:rsid w:val="00235338"/>
    <w:rsid w:val="00235795"/>
    <w:rsid w:val="00246030"/>
    <w:rsid w:val="00246F08"/>
    <w:rsid w:val="0025141D"/>
    <w:rsid w:val="00252914"/>
    <w:rsid w:val="00254BD1"/>
    <w:rsid w:val="00261DA6"/>
    <w:rsid w:val="002625CB"/>
    <w:rsid w:val="00262733"/>
    <w:rsid w:val="00264BA4"/>
    <w:rsid w:val="00270D7C"/>
    <w:rsid w:val="002749BD"/>
    <w:rsid w:val="00275832"/>
    <w:rsid w:val="00280F12"/>
    <w:rsid w:val="00282263"/>
    <w:rsid w:val="002862F3"/>
    <w:rsid w:val="0028739C"/>
    <w:rsid w:val="00291778"/>
    <w:rsid w:val="00295839"/>
    <w:rsid w:val="002A2B27"/>
    <w:rsid w:val="002A4E22"/>
    <w:rsid w:val="002B063A"/>
    <w:rsid w:val="002B0A33"/>
    <w:rsid w:val="002B710D"/>
    <w:rsid w:val="002C2FF3"/>
    <w:rsid w:val="002C45C5"/>
    <w:rsid w:val="002C50C2"/>
    <w:rsid w:val="002C53CD"/>
    <w:rsid w:val="002D290E"/>
    <w:rsid w:val="002D4029"/>
    <w:rsid w:val="002E580D"/>
    <w:rsid w:val="002F5F40"/>
    <w:rsid w:val="00305DDE"/>
    <w:rsid w:val="00306BE0"/>
    <w:rsid w:val="00312E59"/>
    <w:rsid w:val="0032114F"/>
    <w:rsid w:val="00323194"/>
    <w:rsid w:val="00336397"/>
    <w:rsid w:val="00340BF4"/>
    <w:rsid w:val="00342A17"/>
    <w:rsid w:val="003456A4"/>
    <w:rsid w:val="00345E6D"/>
    <w:rsid w:val="00353A31"/>
    <w:rsid w:val="00357BF1"/>
    <w:rsid w:val="003631C5"/>
    <w:rsid w:val="00365094"/>
    <w:rsid w:val="00372E7D"/>
    <w:rsid w:val="00376CF1"/>
    <w:rsid w:val="00387204"/>
    <w:rsid w:val="003918B4"/>
    <w:rsid w:val="003A05BC"/>
    <w:rsid w:val="003A4C2A"/>
    <w:rsid w:val="003A5FD3"/>
    <w:rsid w:val="003B3AA7"/>
    <w:rsid w:val="003B6105"/>
    <w:rsid w:val="003B7854"/>
    <w:rsid w:val="003C30D2"/>
    <w:rsid w:val="003C6034"/>
    <w:rsid w:val="003E40A1"/>
    <w:rsid w:val="003E5C7F"/>
    <w:rsid w:val="003F1E71"/>
    <w:rsid w:val="003F4577"/>
    <w:rsid w:val="00402A72"/>
    <w:rsid w:val="0040419F"/>
    <w:rsid w:val="0040585F"/>
    <w:rsid w:val="0041143F"/>
    <w:rsid w:val="0041236E"/>
    <w:rsid w:val="004129EA"/>
    <w:rsid w:val="00415FB9"/>
    <w:rsid w:val="00424103"/>
    <w:rsid w:val="00426C32"/>
    <w:rsid w:val="0042793D"/>
    <w:rsid w:val="00437ED4"/>
    <w:rsid w:val="00444ADF"/>
    <w:rsid w:val="0044553D"/>
    <w:rsid w:val="004478DF"/>
    <w:rsid w:val="00454266"/>
    <w:rsid w:val="00457AC0"/>
    <w:rsid w:val="00460B8E"/>
    <w:rsid w:val="00463440"/>
    <w:rsid w:val="00464CFA"/>
    <w:rsid w:val="0046502D"/>
    <w:rsid w:val="0047179B"/>
    <w:rsid w:val="0047180B"/>
    <w:rsid w:val="00477A84"/>
    <w:rsid w:val="0048001D"/>
    <w:rsid w:val="00482D22"/>
    <w:rsid w:val="0048370B"/>
    <w:rsid w:val="00486C36"/>
    <w:rsid w:val="00496C01"/>
    <w:rsid w:val="004B3AFE"/>
    <w:rsid w:val="004B67E5"/>
    <w:rsid w:val="004C2725"/>
    <w:rsid w:val="004C5BCD"/>
    <w:rsid w:val="004D0EF0"/>
    <w:rsid w:val="004D1A42"/>
    <w:rsid w:val="004D2532"/>
    <w:rsid w:val="004D4E27"/>
    <w:rsid w:val="004D7C69"/>
    <w:rsid w:val="004E6FAA"/>
    <w:rsid w:val="004F1B0F"/>
    <w:rsid w:val="004F1F9B"/>
    <w:rsid w:val="004F4906"/>
    <w:rsid w:val="005103F8"/>
    <w:rsid w:val="00514FE6"/>
    <w:rsid w:val="005258C0"/>
    <w:rsid w:val="00530A92"/>
    <w:rsid w:val="00533A00"/>
    <w:rsid w:val="00535BFA"/>
    <w:rsid w:val="00540BE0"/>
    <w:rsid w:val="00543DDC"/>
    <w:rsid w:val="00551BD2"/>
    <w:rsid w:val="005536A4"/>
    <w:rsid w:val="005554FB"/>
    <w:rsid w:val="00556F12"/>
    <w:rsid w:val="00560145"/>
    <w:rsid w:val="005605C2"/>
    <w:rsid w:val="00566258"/>
    <w:rsid w:val="00566616"/>
    <w:rsid w:val="00566AF2"/>
    <w:rsid w:val="0057046F"/>
    <w:rsid w:val="005724F9"/>
    <w:rsid w:val="00573CAA"/>
    <w:rsid w:val="00585976"/>
    <w:rsid w:val="00593AD7"/>
    <w:rsid w:val="00596F66"/>
    <w:rsid w:val="005A483A"/>
    <w:rsid w:val="005A4D16"/>
    <w:rsid w:val="005B20CE"/>
    <w:rsid w:val="005B2237"/>
    <w:rsid w:val="005B6AB9"/>
    <w:rsid w:val="005B6ECD"/>
    <w:rsid w:val="005C1FFC"/>
    <w:rsid w:val="005C2AD9"/>
    <w:rsid w:val="005C4692"/>
    <w:rsid w:val="005C50A3"/>
    <w:rsid w:val="005C775A"/>
    <w:rsid w:val="005D1E0B"/>
    <w:rsid w:val="005D2DB3"/>
    <w:rsid w:val="005D3200"/>
    <w:rsid w:val="005E11B3"/>
    <w:rsid w:val="005E38E2"/>
    <w:rsid w:val="005E56CC"/>
    <w:rsid w:val="005F24CD"/>
    <w:rsid w:val="005F4BB2"/>
    <w:rsid w:val="005F6DE5"/>
    <w:rsid w:val="005F74C0"/>
    <w:rsid w:val="00601A3E"/>
    <w:rsid w:val="00607661"/>
    <w:rsid w:val="0062628A"/>
    <w:rsid w:val="00627B9A"/>
    <w:rsid w:val="00632852"/>
    <w:rsid w:val="00636C2A"/>
    <w:rsid w:val="006450DC"/>
    <w:rsid w:val="00653ADD"/>
    <w:rsid w:val="00661E4A"/>
    <w:rsid w:val="00670B0D"/>
    <w:rsid w:val="0067564A"/>
    <w:rsid w:val="00675AEB"/>
    <w:rsid w:val="00675BAB"/>
    <w:rsid w:val="00683E6C"/>
    <w:rsid w:val="00691000"/>
    <w:rsid w:val="006A46EB"/>
    <w:rsid w:val="006C5201"/>
    <w:rsid w:val="006C60D4"/>
    <w:rsid w:val="006C70ED"/>
    <w:rsid w:val="006D632C"/>
    <w:rsid w:val="006D7DBB"/>
    <w:rsid w:val="006E1094"/>
    <w:rsid w:val="006F223C"/>
    <w:rsid w:val="006F4EF8"/>
    <w:rsid w:val="007013E5"/>
    <w:rsid w:val="00721081"/>
    <w:rsid w:val="0072350B"/>
    <w:rsid w:val="00727C9B"/>
    <w:rsid w:val="00727FE5"/>
    <w:rsid w:val="00734A72"/>
    <w:rsid w:val="007374A7"/>
    <w:rsid w:val="0074417A"/>
    <w:rsid w:val="007508C2"/>
    <w:rsid w:val="00754A10"/>
    <w:rsid w:val="00754C45"/>
    <w:rsid w:val="007561CD"/>
    <w:rsid w:val="007606DA"/>
    <w:rsid w:val="00763EB2"/>
    <w:rsid w:val="00774456"/>
    <w:rsid w:val="0077611A"/>
    <w:rsid w:val="0077688B"/>
    <w:rsid w:val="00776F87"/>
    <w:rsid w:val="00781161"/>
    <w:rsid w:val="00785C43"/>
    <w:rsid w:val="007877F7"/>
    <w:rsid w:val="0079275A"/>
    <w:rsid w:val="007928AF"/>
    <w:rsid w:val="00794B2C"/>
    <w:rsid w:val="007964CD"/>
    <w:rsid w:val="007A1BE6"/>
    <w:rsid w:val="007A45B9"/>
    <w:rsid w:val="007A50A8"/>
    <w:rsid w:val="007A7272"/>
    <w:rsid w:val="007A7E0A"/>
    <w:rsid w:val="007B1ECB"/>
    <w:rsid w:val="007B36F4"/>
    <w:rsid w:val="007C2EDA"/>
    <w:rsid w:val="007C3392"/>
    <w:rsid w:val="007C3D8C"/>
    <w:rsid w:val="007C416C"/>
    <w:rsid w:val="007C747B"/>
    <w:rsid w:val="007D7FF9"/>
    <w:rsid w:val="007E1924"/>
    <w:rsid w:val="007E49EE"/>
    <w:rsid w:val="007E5D22"/>
    <w:rsid w:val="007E7087"/>
    <w:rsid w:val="007E796E"/>
    <w:rsid w:val="007F4376"/>
    <w:rsid w:val="007F514A"/>
    <w:rsid w:val="007F7093"/>
    <w:rsid w:val="007F72FF"/>
    <w:rsid w:val="007F7D6B"/>
    <w:rsid w:val="00801856"/>
    <w:rsid w:val="00802DD2"/>
    <w:rsid w:val="00803A98"/>
    <w:rsid w:val="00813370"/>
    <w:rsid w:val="008137BE"/>
    <w:rsid w:val="008147CA"/>
    <w:rsid w:val="00824CD8"/>
    <w:rsid w:val="008263BC"/>
    <w:rsid w:val="00830FB2"/>
    <w:rsid w:val="00835516"/>
    <w:rsid w:val="00850EE5"/>
    <w:rsid w:val="00852B04"/>
    <w:rsid w:val="00874BA0"/>
    <w:rsid w:val="00875978"/>
    <w:rsid w:val="00892F67"/>
    <w:rsid w:val="008A0B4F"/>
    <w:rsid w:val="008A3133"/>
    <w:rsid w:val="008B3376"/>
    <w:rsid w:val="008B372D"/>
    <w:rsid w:val="008B44BB"/>
    <w:rsid w:val="008C0CED"/>
    <w:rsid w:val="008D0173"/>
    <w:rsid w:val="008D7BA1"/>
    <w:rsid w:val="008E2224"/>
    <w:rsid w:val="008E31D0"/>
    <w:rsid w:val="008E48D1"/>
    <w:rsid w:val="008E7213"/>
    <w:rsid w:val="008F0A46"/>
    <w:rsid w:val="008F4B87"/>
    <w:rsid w:val="008F59D3"/>
    <w:rsid w:val="008F7794"/>
    <w:rsid w:val="00900492"/>
    <w:rsid w:val="00902440"/>
    <w:rsid w:val="0090310F"/>
    <w:rsid w:val="00903B48"/>
    <w:rsid w:val="0090637A"/>
    <w:rsid w:val="00911C15"/>
    <w:rsid w:val="00915056"/>
    <w:rsid w:val="0092273A"/>
    <w:rsid w:val="00931FFD"/>
    <w:rsid w:val="009559B6"/>
    <w:rsid w:val="00957E27"/>
    <w:rsid w:val="00961A9B"/>
    <w:rsid w:val="00961FDC"/>
    <w:rsid w:val="00966318"/>
    <w:rsid w:val="00966F06"/>
    <w:rsid w:val="00976D9A"/>
    <w:rsid w:val="0098715C"/>
    <w:rsid w:val="00995C52"/>
    <w:rsid w:val="009968EB"/>
    <w:rsid w:val="00997516"/>
    <w:rsid w:val="009B6057"/>
    <w:rsid w:val="009C4670"/>
    <w:rsid w:val="009D1210"/>
    <w:rsid w:val="009D12B4"/>
    <w:rsid w:val="009D71E3"/>
    <w:rsid w:val="009E0DDD"/>
    <w:rsid w:val="009E10AF"/>
    <w:rsid w:val="009E27E1"/>
    <w:rsid w:val="009E4B63"/>
    <w:rsid w:val="009E62CB"/>
    <w:rsid w:val="009F3026"/>
    <w:rsid w:val="009F6266"/>
    <w:rsid w:val="00A00791"/>
    <w:rsid w:val="00A01CE3"/>
    <w:rsid w:val="00A02BB9"/>
    <w:rsid w:val="00A06563"/>
    <w:rsid w:val="00A2292E"/>
    <w:rsid w:val="00A238FB"/>
    <w:rsid w:val="00A3621E"/>
    <w:rsid w:val="00A513B3"/>
    <w:rsid w:val="00A77BE5"/>
    <w:rsid w:val="00A8395D"/>
    <w:rsid w:val="00A842AF"/>
    <w:rsid w:val="00A8654D"/>
    <w:rsid w:val="00A87B64"/>
    <w:rsid w:val="00A901F0"/>
    <w:rsid w:val="00A923E5"/>
    <w:rsid w:val="00A9408C"/>
    <w:rsid w:val="00A94737"/>
    <w:rsid w:val="00A97D14"/>
    <w:rsid w:val="00AB3A7E"/>
    <w:rsid w:val="00AD10C8"/>
    <w:rsid w:val="00AD223D"/>
    <w:rsid w:val="00AD2EDE"/>
    <w:rsid w:val="00AD3DF0"/>
    <w:rsid w:val="00AD7C50"/>
    <w:rsid w:val="00AF6524"/>
    <w:rsid w:val="00B02D9D"/>
    <w:rsid w:val="00B059D8"/>
    <w:rsid w:val="00B1657B"/>
    <w:rsid w:val="00B1745D"/>
    <w:rsid w:val="00B22989"/>
    <w:rsid w:val="00B26EFB"/>
    <w:rsid w:val="00B32679"/>
    <w:rsid w:val="00B3419F"/>
    <w:rsid w:val="00B3689A"/>
    <w:rsid w:val="00B46438"/>
    <w:rsid w:val="00B47EA1"/>
    <w:rsid w:val="00B516EA"/>
    <w:rsid w:val="00B5780D"/>
    <w:rsid w:val="00B57E0B"/>
    <w:rsid w:val="00B629F9"/>
    <w:rsid w:val="00B71A10"/>
    <w:rsid w:val="00B72ED3"/>
    <w:rsid w:val="00B81532"/>
    <w:rsid w:val="00B96076"/>
    <w:rsid w:val="00B97A97"/>
    <w:rsid w:val="00BA164F"/>
    <w:rsid w:val="00BB3893"/>
    <w:rsid w:val="00BB6B3D"/>
    <w:rsid w:val="00BD0480"/>
    <w:rsid w:val="00BD2AE3"/>
    <w:rsid w:val="00BD6F58"/>
    <w:rsid w:val="00BE03B8"/>
    <w:rsid w:val="00BE20B9"/>
    <w:rsid w:val="00BF05CA"/>
    <w:rsid w:val="00BF448B"/>
    <w:rsid w:val="00BF6480"/>
    <w:rsid w:val="00C02684"/>
    <w:rsid w:val="00C12511"/>
    <w:rsid w:val="00C12ECE"/>
    <w:rsid w:val="00C16E23"/>
    <w:rsid w:val="00C17000"/>
    <w:rsid w:val="00C2142F"/>
    <w:rsid w:val="00C275B7"/>
    <w:rsid w:val="00C33EEE"/>
    <w:rsid w:val="00C358A5"/>
    <w:rsid w:val="00C43578"/>
    <w:rsid w:val="00C4700D"/>
    <w:rsid w:val="00C552D0"/>
    <w:rsid w:val="00C57CA6"/>
    <w:rsid w:val="00C73F59"/>
    <w:rsid w:val="00C95ECB"/>
    <w:rsid w:val="00CA081F"/>
    <w:rsid w:val="00CA6E67"/>
    <w:rsid w:val="00CB013F"/>
    <w:rsid w:val="00CB0A96"/>
    <w:rsid w:val="00CB4166"/>
    <w:rsid w:val="00CB7739"/>
    <w:rsid w:val="00CC019D"/>
    <w:rsid w:val="00CD08CD"/>
    <w:rsid w:val="00CD4B6E"/>
    <w:rsid w:val="00CD6BB0"/>
    <w:rsid w:val="00CE142F"/>
    <w:rsid w:val="00CF05D2"/>
    <w:rsid w:val="00CF4EB7"/>
    <w:rsid w:val="00CF5972"/>
    <w:rsid w:val="00D002F6"/>
    <w:rsid w:val="00D0687F"/>
    <w:rsid w:val="00D128FA"/>
    <w:rsid w:val="00D1348E"/>
    <w:rsid w:val="00D13956"/>
    <w:rsid w:val="00D24993"/>
    <w:rsid w:val="00D37253"/>
    <w:rsid w:val="00D52826"/>
    <w:rsid w:val="00D52DD7"/>
    <w:rsid w:val="00D552EC"/>
    <w:rsid w:val="00D5651C"/>
    <w:rsid w:val="00D73B67"/>
    <w:rsid w:val="00D74EF6"/>
    <w:rsid w:val="00D75BA4"/>
    <w:rsid w:val="00D76ABE"/>
    <w:rsid w:val="00D77E40"/>
    <w:rsid w:val="00D81446"/>
    <w:rsid w:val="00D96F4F"/>
    <w:rsid w:val="00DA1C77"/>
    <w:rsid w:val="00DA3AF6"/>
    <w:rsid w:val="00DA55D3"/>
    <w:rsid w:val="00DA74B9"/>
    <w:rsid w:val="00DB3851"/>
    <w:rsid w:val="00DB39FB"/>
    <w:rsid w:val="00DB5FE9"/>
    <w:rsid w:val="00DC239C"/>
    <w:rsid w:val="00DC6F69"/>
    <w:rsid w:val="00DD1C4B"/>
    <w:rsid w:val="00DD48B4"/>
    <w:rsid w:val="00DE3C8D"/>
    <w:rsid w:val="00DE532C"/>
    <w:rsid w:val="00DE7567"/>
    <w:rsid w:val="00DF12DD"/>
    <w:rsid w:val="00E00C0D"/>
    <w:rsid w:val="00E02647"/>
    <w:rsid w:val="00E06B62"/>
    <w:rsid w:val="00E10A97"/>
    <w:rsid w:val="00E16D64"/>
    <w:rsid w:val="00E239EF"/>
    <w:rsid w:val="00E24C7C"/>
    <w:rsid w:val="00E27E75"/>
    <w:rsid w:val="00E30ECB"/>
    <w:rsid w:val="00E31C19"/>
    <w:rsid w:val="00E37AAB"/>
    <w:rsid w:val="00E427CF"/>
    <w:rsid w:val="00E53ABF"/>
    <w:rsid w:val="00E5658B"/>
    <w:rsid w:val="00E67288"/>
    <w:rsid w:val="00E71C11"/>
    <w:rsid w:val="00E847AE"/>
    <w:rsid w:val="00E8541D"/>
    <w:rsid w:val="00E858EF"/>
    <w:rsid w:val="00E867BC"/>
    <w:rsid w:val="00E93CA3"/>
    <w:rsid w:val="00EA05BA"/>
    <w:rsid w:val="00EA3328"/>
    <w:rsid w:val="00EB6560"/>
    <w:rsid w:val="00EC087B"/>
    <w:rsid w:val="00EC1082"/>
    <w:rsid w:val="00EC1259"/>
    <w:rsid w:val="00EC2A06"/>
    <w:rsid w:val="00ED0D5F"/>
    <w:rsid w:val="00ED56D7"/>
    <w:rsid w:val="00EE044D"/>
    <w:rsid w:val="00F07561"/>
    <w:rsid w:val="00F10D4B"/>
    <w:rsid w:val="00F17D93"/>
    <w:rsid w:val="00F34B78"/>
    <w:rsid w:val="00F37DB2"/>
    <w:rsid w:val="00F46A01"/>
    <w:rsid w:val="00F51FBC"/>
    <w:rsid w:val="00F54026"/>
    <w:rsid w:val="00F543B5"/>
    <w:rsid w:val="00F55BB2"/>
    <w:rsid w:val="00F5619E"/>
    <w:rsid w:val="00F56A92"/>
    <w:rsid w:val="00F63082"/>
    <w:rsid w:val="00F83E02"/>
    <w:rsid w:val="00F85AF2"/>
    <w:rsid w:val="00F87F83"/>
    <w:rsid w:val="00F91505"/>
    <w:rsid w:val="00F92099"/>
    <w:rsid w:val="00F94601"/>
    <w:rsid w:val="00F96215"/>
    <w:rsid w:val="00F965CF"/>
    <w:rsid w:val="00FA3ADC"/>
    <w:rsid w:val="00FA3EE5"/>
    <w:rsid w:val="00FA4A7F"/>
    <w:rsid w:val="00FB28BB"/>
    <w:rsid w:val="00FC1151"/>
    <w:rsid w:val="00FC3EDC"/>
    <w:rsid w:val="00FC7D5E"/>
    <w:rsid w:val="00FD0788"/>
    <w:rsid w:val="00FD1E89"/>
    <w:rsid w:val="00FD48D6"/>
    <w:rsid w:val="00FE7286"/>
    <w:rsid w:val="00FF2687"/>
    <w:rsid w:val="00FF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87023"/>
  <w15:docId w15:val="{7745D4C7-6210-4538-9435-F54B36D8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661"/>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66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07661"/>
    <w:rPr>
      <w:rFonts w:ascii="Tahoma" w:eastAsia="Calibri" w:hAnsi="Tahoma" w:cs="Tahoma"/>
      <w:sz w:val="16"/>
      <w:szCs w:val="16"/>
    </w:rPr>
  </w:style>
  <w:style w:type="paragraph" w:styleId="FootnoteText">
    <w:name w:val="footnote text"/>
    <w:basedOn w:val="Normal"/>
    <w:link w:val="FootnoteTextChar"/>
    <w:uiPriority w:val="99"/>
    <w:semiHidden/>
    <w:unhideWhenUsed/>
    <w:rsid w:val="00D37253"/>
    <w:pPr>
      <w:spacing w:after="0" w:line="240" w:lineRule="auto"/>
    </w:pPr>
    <w:rPr>
      <w:sz w:val="20"/>
      <w:szCs w:val="20"/>
    </w:rPr>
  </w:style>
  <w:style w:type="character" w:customStyle="1" w:styleId="FootnoteTextChar">
    <w:name w:val="Footnote Text Char"/>
    <w:link w:val="FootnoteText"/>
    <w:uiPriority w:val="99"/>
    <w:semiHidden/>
    <w:rsid w:val="00D37253"/>
    <w:rPr>
      <w:rFonts w:ascii="Calibri" w:hAnsi="Calibri"/>
    </w:rPr>
  </w:style>
  <w:style w:type="character" w:styleId="FootnoteReference">
    <w:name w:val="footnote reference"/>
    <w:uiPriority w:val="99"/>
    <w:semiHidden/>
    <w:unhideWhenUsed/>
    <w:rsid w:val="00D37253"/>
    <w:rPr>
      <w:vertAlign w:val="superscript"/>
    </w:rPr>
  </w:style>
  <w:style w:type="paragraph" w:styleId="Header">
    <w:name w:val="header"/>
    <w:basedOn w:val="Normal"/>
    <w:link w:val="HeaderChar"/>
    <w:rsid w:val="00D37253"/>
    <w:pPr>
      <w:tabs>
        <w:tab w:val="center" w:pos="4320"/>
        <w:tab w:val="right" w:pos="8640"/>
      </w:tabs>
    </w:pPr>
  </w:style>
  <w:style w:type="character" w:customStyle="1" w:styleId="HeaderChar">
    <w:name w:val="Header Char"/>
    <w:link w:val="Header"/>
    <w:rsid w:val="00D37253"/>
    <w:rPr>
      <w:rFonts w:ascii="Calibri" w:hAnsi="Calibri"/>
      <w:sz w:val="22"/>
      <w:szCs w:val="22"/>
    </w:rPr>
  </w:style>
  <w:style w:type="character" w:styleId="Hyperlink">
    <w:name w:val="Hyperlink"/>
    <w:uiPriority w:val="99"/>
    <w:unhideWhenUsed/>
    <w:rsid w:val="00D37253"/>
    <w:rPr>
      <w:color w:val="0000FF"/>
      <w:u w:val="single"/>
    </w:rPr>
  </w:style>
  <w:style w:type="paragraph" w:styleId="Footer">
    <w:name w:val="footer"/>
    <w:basedOn w:val="Normal"/>
    <w:link w:val="FooterChar"/>
    <w:uiPriority w:val="99"/>
    <w:unhideWhenUsed/>
    <w:rsid w:val="00D37253"/>
    <w:pPr>
      <w:tabs>
        <w:tab w:val="center" w:pos="4680"/>
        <w:tab w:val="right" w:pos="9360"/>
      </w:tabs>
    </w:pPr>
  </w:style>
  <w:style w:type="character" w:customStyle="1" w:styleId="FooterChar">
    <w:name w:val="Footer Char"/>
    <w:link w:val="Footer"/>
    <w:uiPriority w:val="99"/>
    <w:rsid w:val="00D37253"/>
    <w:rPr>
      <w:rFonts w:ascii="Calibri" w:hAnsi="Calibri"/>
      <w:sz w:val="22"/>
      <w:szCs w:val="22"/>
    </w:rPr>
  </w:style>
  <w:style w:type="character" w:styleId="CommentReference">
    <w:name w:val="annotation reference"/>
    <w:uiPriority w:val="99"/>
    <w:semiHidden/>
    <w:unhideWhenUsed/>
    <w:rsid w:val="005C1FFC"/>
    <w:rPr>
      <w:sz w:val="16"/>
      <w:szCs w:val="16"/>
    </w:rPr>
  </w:style>
  <w:style w:type="paragraph" w:styleId="CommentText">
    <w:name w:val="annotation text"/>
    <w:basedOn w:val="Normal"/>
    <w:link w:val="CommentTextChar"/>
    <w:uiPriority w:val="99"/>
    <w:semiHidden/>
    <w:unhideWhenUsed/>
    <w:rsid w:val="005C1FFC"/>
    <w:rPr>
      <w:sz w:val="20"/>
      <w:szCs w:val="20"/>
    </w:rPr>
  </w:style>
  <w:style w:type="character" w:customStyle="1" w:styleId="CommentTextChar">
    <w:name w:val="Comment Text Char"/>
    <w:link w:val="CommentText"/>
    <w:uiPriority w:val="99"/>
    <w:semiHidden/>
    <w:rsid w:val="005C1FFC"/>
    <w:rPr>
      <w:rFonts w:ascii="Calibri" w:hAnsi="Calibri"/>
    </w:rPr>
  </w:style>
  <w:style w:type="paragraph" w:styleId="CommentSubject">
    <w:name w:val="annotation subject"/>
    <w:basedOn w:val="CommentText"/>
    <w:next w:val="CommentText"/>
    <w:link w:val="CommentSubjectChar"/>
    <w:uiPriority w:val="99"/>
    <w:semiHidden/>
    <w:unhideWhenUsed/>
    <w:rsid w:val="005C1FFC"/>
    <w:rPr>
      <w:b/>
      <w:bCs/>
    </w:rPr>
  </w:style>
  <w:style w:type="character" w:customStyle="1" w:styleId="CommentSubjectChar">
    <w:name w:val="Comment Subject Char"/>
    <w:link w:val="CommentSubject"/>
    <w:uiPriority w:val="99"/>
    <w:semiHidden/>
    <w:rsid w:val="005C1FFC"/>
    <w:rPr>
      <w:rFonts w:ascii="Calibri" w:hAnsi="Calibri"/>
      <w:b/>
      <w:bCs/>
    </w:rPr>
  </w:style>
  <w:style w:type="paragraph" w:customStyle="1" w:styleId="Default">
    <w:name w:val="Default"/>
    <w:rsid w:val="000B0869"/>
    <w:pPr>
      <w:autoSpaceDE w:val="0"/>
      <w:autoSpaceDN w:val="0"/>
      <w:adjustRightInd w:val="0"/>
    </w:pPr>
    <w:rPr>
      <w:color w:val="000000"/>
      <w:sz w:val="24"/>
      <w:szCs w:val="24"/>
    </w:rPr>
  </w:style>
  <w:style w:type="paragraph" w:styleId="EndnoteText">
    <w:name w:val="endnote text"/>
    <w:basedOn w:val="Normal"/>
    <w:link w:val="EndnoteTextChar"/>
    <w:uiPriority w:val="99"/>
    <w:semiHidden/>
    <w:unhideWhenUsed/>
    <w:rsid w:val="00ED5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56D7"/>
    <w:rPr>
      <w:rFonts w:ascii="Calibri" w:hAnsi="Calibri"/>
    </w:rPr>
  </w:style>
  <w:style w:type="character" w:styleId="EndnoteReference">
    <w:name w:val="endnote reference"/>
    <w:basedOn w:val="DefaultParagraphFont"/>
    <w:uiPriority w:val="99"/>
    <w:semiHidden/>
    <w:unhideWhenUsed/>
    <w:rsid w:val="00ED56D7"/>
    <w:rPr>
      <w:vertAlign w:val="superscript"/>
    </w:rPr>
  </w:style>
  <w:style w:type="character" w:styleId="PlaceholderText">
    <w:name w:val="Placeholder Text"/>
    <w:basedOn w:val="DefaultParagraphFont"/>
    <w:uiPriority w:val="99"/>
    <w:semiHidden/>
    <w:rsid w:val="003A5FD3"/>
    <w:rPr>
      <w:color w:val="808080"/>
    </w:rPr>
  </w:style>
  <w:style w:type="paragraph" w:styleId="ListParagraph">
    <w:name w:val="List Paragraph"/>
    <w:basedOn w:val="Normal"/>
    <w:uiPriority w:val="34"/>
    <w:qFormat/>
    <w:rsid w:val="008147CA"/>
    <w:pPr>
      <w:ind w:left="720"/>
      <w:contextualSpacing/>
    </w:pPr>
  </w:style>
  <w:style w:type="character" w:styleId="UnresolvedMention">
    <w:name w:val="Unresolved Mention"/>
    <w:basedOn w:val="DefaultParagraphFont"/>
    <w:uiPriority w:val="99"/>
    <w:semiHidden/>
    <w:unhideWhenUsed/>
    <w:rsid w:val="00405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3125">
      <w:bodyDiv w:val="1"/>
      <w:marLeft w:val="0"/>
      <w:marRight w:val="0"/>
      <w:marTop w:val="0"/>
      <w:marBottom w:val="0"/>
      <w:divBdr>
        <w:top w:val="none" w:sz="0" w:space="0" w:color="auto"/>
        <w:left w:val="none" w:sz="0" w:space="0" w:color="auto"/>
        <w:bottom w:val="none" w:sz="0" w:space="0" w:color="auto"/>
        <w:right w:val="none" w:sz="0" w:space="0" w:color="auto"/>
      </w:divBdr>
      <w:divsChild>
        <w:div w:id="1177036796">
          <w:marLeft w:val="0"/>
          <w:marRight w:val="0"/>
          <w:marTop w:val="0"/>
          <w:marBottom w:val="0"/>
          <w:divBdr>
            <w:top w:val="none" w:sz="0" w:space="0" w:color="auto"/>
            <w:left w:val="none" w:sz="0" w:space="0" w:color="auto"/>
            <w:bottom w:val="none" w:sz="0" w:space="0" w:color="auto"/>
            <w:right w:val="none" w:sz="0" w:space="0" w:color="auto"/>
          </w:divBdr>
        </w:div>
      </w:divsChild>
    </w:div>
    <w:div w:id="136344827">
      <w:bodyDiv w:val="1"/>
      <w:marLeft w:val="0"/>
      <w:marRight w:val="0"/>
      <w:marTop w:val="0"/>
      <w:marBottom w:val="0"/>
      <w:divBdr>
        <w:top w:val="none" w:sz="0" w:space="0" w:color="auto"/>
        <w:left w:val="none" w:sz="0" w:space="0" w:color="auto"/>
        <w:bottom w:val="none" w:sz="0" w:space="0" w:color="auto"/>
        <w:right w:val="none" w:sz="0" w:space="0" w:color="auto"/>
      </w:divBdr>
    </w:div>
    <w:div w:id="148906207">
      <w:bodyDiv w:val="1"/>
      <w:marLeft w:val="0"/>
      <w:marRight w:val="0"/>
      <w:marTop w:val="0"/>
      <w:marBottom w:val="0"/>
      <w:divBdr>
        <w:top w:val="none" w:sz="0" w:space="0" w:color="auto"/>
        <w:left w:val="none" w:sz="0" w:space="0" w:color="auto"/>
        <w:bottom w:val="none" w:sz="0" w:space="0" w:color="auto"/>
        <w:right w:val="none" w:sz="0" w:space="0" w:color="auto"/>
      </w:divBdr>
    </w:div>
    <w:div w:id="217398508">
      <w:bodyDiv w:val="1"/>
      <w:marLeft w:val="0"/>
      <w:marRight w:val="0"/>
      <w:marTop w:val="0"/>
      <w:marBottom w:val="0"/>
      <w:divBdr>
        <w:top w:val="none" w:sz="0" w:space="0" w:color="auto"/>
        <w:left w:val="none" w:sz="0" w:space="0" w:color="auto"/>
        <w:bottom w:val="none" w:sz="0" w:space="0" w:color="auto"/>
        <w:right w:val="none" w:sz="0" w:space="0" w:color="auto"/>
      </w:divBdr>
    </w:div>
    <w:div w:id="348533530">
      <w:bodyDiv w:val="1"/>
      <w:marLeft w:val="0"/>
      <w:marRight w:val="0"/>
      <w:marTop w:val="0"/>
      <w:marBottom w:val="0"/>
      <w:divBdr>
        <w:top w:val="none" w:sz="0" w:space="0" w:color="auto"/>
        <w:left w:val="none" w:sz="0" w:space="0" w:color="auto"/>
        <w:bottom w:val="none" w:sz="0" w:space="0" w:color="auto"/>
        <w:right w:val="none" w:sz="0" w:space="0" w:color="auto"/>
      </w:divBdr>
    </w:div>
    <w:div w:id="368382134">
      <w:bodyDiv w:val="1"/>
      <w:marLeft w:val="0"/>
      <w:marRight w:val="0"/>
      <w:marTop w:val="0"/>
      <w:marBottom w:val="0"/>
      <w:divBdr>
        <w:top w:val="none" w:sz="0" w:space="0" w:color="auto"/>
        <w:left w:val="none" w:sz="0" w:space="0" w:color="auto"/>
        <w:bottom w:val="none" w:sz="0" w:space="0" w:color="auto"/>
        <w:right w:val="none" w:sz="0" w:space="0" w:color="auto"/>
      </w:divBdr>
    </w:div>
    <w:div w:id="420680189">
      <w:bodyDiv w:val="1"/>
      <w:marLeft w:val="0"/>
      <w:marRight w:val="0"/>
      <w:marTop w:val="0"/>
      <w:marBottom w:val="0"/>
      <w:divBdr>
        <w:top w:val="none" w:sz="0" w:space="0" w:color="auto"/>
        <w:left w:val="none" w:sz="0" w:space="0" w:color="auto"/>
        <w:bottom w:val="none" w:sz="0" w:space="0" w:color="auto"/>
        <w:right w:val="none" w:sz="0" w:space="0" w:color="auto"/>
      </w:divBdr>
    </w:div>
    <w:div w:id="535580055">
      <w:bodyDiv w:val="1"/>
      <w:marLeft w:val="0"/>
      <w:marRight w:val="0"/>
      <w:marTop w:val="0"/>
      <w:marBottom w:val="0"/>
      <w:divBdr>
        <w:top w:val="none" w:sz="0" w:space="0" w:color="auto"/>
        <w:left w:val="none" w:sz="0" w:space="0" w:color="auto"/>
        <w:bottom w:val="none" w:sz="0" w:space="0" w:color="auto"/>
        <w:right w:val="none" w:sz="0" w:space="0" w:color="auto"/>
      </w:divBdr>
    </w:div>
    <w:div w:id="601957121">
      <w:bodyDiv w:val="1"/>
      <w:marLeft w:val="0"/>
      <w:marRight w:val="0"/>
      <w:marTop w:val="0"/>
      <w:marBottom w:val="0"/>
      <w:divBdr>
        <w:top w:val="none" w:sz="0" w:space="0" w:color="auto"/>
        <w:left w:val="none" w:sz="0" w:space="0" w:color="auto"/>
        <w:bottom w:val="none" w:sz="0" w:space="0" w:color="auto"/>
        <w:right w:val="none" w:sz="0" w:space="0" w:color="auto"/>
      </w:divBdr>
    </w:div>
    <w:div w:id="649217507">
      <w:bodyDiv w:val="1"/>
      <w:marLeft w:val="0"/>
      <w:marRight w:val="0"/>
      <w:marTop w:val="0"/>
      <w:marBottom w:val="0"/>
      <w:divBdr>
        <w:top w:val="none" w:sz="0" w:space="0" w:color="auto"/>
        <w:left w:val="none" w:sz="0" w:space="0" w:color="auto"/>
        <w:bottom w:val="none" w:sz="0" w:space="0" w:color="auto"/>
        <w:right w:val="none" w:sz="0" w:space="0" w:color="auto"/>
      </w:divBdr>
    </w:div>
    <w:div w:id="694189974">
      <w:bodyDiv w:val="1"/>
      <w:marLeft w:val="0"/>
      <w:marRight w:val="0"/>
      <w:marTop w:val="0"/>
      <w:marBottom w:val="0"/>
      <w:divBdr>
        <w:top w:val="none" w:sz="0" w:space="0" w:color="auto"/>
        <w:left w:val="none" w:sz="0" w:space="0" w:color="auto"/>
        <w:bottom w:val="none" w:sz="0" w:space="0" w:color="auto"/>
        <w:right w:val="none" w:sz="0" w:space="0" w:color="auto"/>
      </w:divBdr>
    </w:div>
    <w:div w:id="741410988">
      <w:bodyDiv w:val="1"/>
      <w:marLeft w:val="0"/>
      <w:marRight w:val="0"/>
      <w:marTop w:val="0"/>
      <w:marBottom w:val="0"/>
      <w:divBdr>
        <w:top w:val="none" w:sz="0" w:space="0" w:color="auto"/>
        <w:left w:val="none" w:sz="0" w:space="0" w:color="auto"/>
        <w:bottom w:val="none" w:sz="0" w:space="0" w:color="auto"/>
        <w:right w:val="none" w:sz="0" w:space="0" w:color="auto"/>
      </w:divBdr>
    </w:div>
    <w:div w:id="769472822">
      <w:bodyDiv w:val="1"/>
      <w:marLeft w:val="0"/>
      <w:marRight w:val="0"/>
      <w:marTop w:val="0"/>
      <w:marBottom w:val="0"/>
      <w:divBdr>
        <w:top w:val="none" w:sz="0" w:space="0" w:color="auto"/>
        <w:left w:val="none" w:sz="0" w:space="0" w:color="auto"/>
        <w:bottom w:val="none" w:sz="0" w:space="0" w:color="auto"/>
        <w:right w:val="none" w:sz="0" w:space="0" w:color="auto"/>
      </w:divBdr>
    </w:div>
    <w:div w:id="852576343">
      <w:bodyDiv w:val="1"/>
      <w:marLeft w:val="0"/>
      <w:marRight w:val="0"/>
      <w:marTop w:val="0"/>
      <w:marBottom w:val="0"/>
      <w:divBdr>
        <w:top w:val="none" w:sz="0" w:space="0" w:color="auto"/>
        <w:left w:val="none" w:sz="0" w:space="0" w:color="auto"/>
        <w:bottom w:val="none" w:sz="0" w:space="0" w:color="auto"/>
        <w:right w:val="none" w:sz="0" w:space="0" w:color="auto"/>
      </w:divBdr>
    </w:div>
    <w:div w:id="965164131">
      <w:bodyDiv w:val="1"/>
      <w:marLeft w:val="0"/>
      <w:marRight w:val="0"/>
      <w:marTop w:val="0"/>
      <w:marBottom w:val="0"/>
      <w:divBdr>
        <w:top w:val="none" w:sz="0" w:space="0" w:color="auto"/>
        <w:left w:val="none" w:sz="0" w:space="0" w:color="auto"/>
        <w:bottom w:val="none" w:sz="0" w:space="0" w:color="auto"/>
        <w:right w:val="none" w:sz="0" w:space="0" w:color="auto"/>
      </w:divBdr>
    </w:div>
    <w:div w:id="968557632">
      <w:bodyDiv w:val="1"/>
      <w:marLeft w:val="0"/>
      <w:marRight w:val="0"/>
      <w:marTop w:val="0"/>
      <w:marBottom w:val="0"/>
      <w:divBdr>
        <w:top w:val="none" w:sz="0" w:space="0" w:color="auto"/>
        <w:left w:val="none" w:sz="0" w:space="0" w:color="auto"/>
        <w:bottom w:val="none" w:sz="0" w:space="0" w:color="auto"/>
        <w:right w:val="none" w:sz="0" w:space="0" w:color="auto"/>
      </w:divBdr>
    </w:div>
    <w:div w:id="1018655758">
      <w:bodyDiv w:val="1"/>
      <w:marLeft w:val="0"/>
      <w:marRight w:val="0"/>
      <w:marTop w:val="0"/>
      <w:marBottom w:val="0"/>
      <w:divBdr>
        <w:top w:val="none" w:sz="0" w:space="0" w:color="auto"/>
        <w:left w:val="none" w:sz="0" w:space="0" w:color="auto"/>
        <w:bottom w:val="none" w:sz="0" w:space="0" w:color="auto"/>
        <w:right w:val="none" w:sz="0" w:space="0" w:color="auto"/>
      </w:divBdr>
    </w:div>
    <w:div w:id="1269462337">
      <w:bodyDiv w:val="1"/>
      <w:marLeft w:val="0"/>
      <w:marRight w:val="0"/>
      <w:marTop w:val="0"/>
      <w:marBottom w:val="0"/>
      <w:divBdr>
        <w:top w:val="none" w:sz="0" w:space="0" w:color="auto"/>
        <w:left w:val="none" w:sz="0" w:space="0" w:color="auto"/>
        <w:bottom w:val="none" w:sz="0" w:space="0" w:color="auto"/>
        <w:right w:val="none" w:sz="0" w:space="0" w:color="auto"/>
      </w:divBdr>
    </w:div>
    <w:div w:id="1301038594">
      <w:bodyDiv w:val="1"/>
      <w:marLeft w:val="0"/>
      <w:marRight w:val="0"/>
      <w:marTop w:val="0"/>
      <w:marBottom w:val="0"/>
      <w:divBdr>
        <w:top w:val="none" w:sz="0" w:space="0" w:color="auto"/>
        <w:left w:val="none" w:sz="0" w:space="0" w:color="auto"/>
        <w:bottom w:val="none" w:sz="0" w:space="0" w:color="auto"/>
        <w:right w:val="none" w:sz="0" w:space="0" w:color="auto"/>
      </w:divBdr>
    </w:div>
    <w:div w:id="1349865513">
      <w:bodyDiv w:val="1"/>
      <w:marLeft w:val="0"/>
      <w:marRight w:val="0"/>
      <w:marTop w:val="0"/>
      <w:marBottom w:val="0"/>
      <w:divBdr>
        <w:top w:val="none" w:sz="0" w:space="0" w:color="auto"/>
        <w:left w:val="none" w:sz="0" w:space="0" w:color="auto"/>
        <w:bottom w:val="none" w:sz="0" w:space="0" w:color="auto"/>
        <w:right w:val="none" w:sz="0" w:space="0" w:color="auto"/>
      </w:divBdr>
    </w:div>
    <w:div w:id="1366715128">
      <w:bodyDiv w:val="1"/>
      <w:marLeft w:val="0"/>
      <w:marRight w:val="0"/>
      <w:marTop w:val="0"/>
      <w:marBottom w:val="0"/>
      <w:divBdr>
        <w:top w:val="none" w:sz="0" w:space="0" w:color="auto"/>
        <w:left w:val="none" w:sz="0" w:space="0" w:color="auto"/>
        <w:bottom w:val="none" w:sz="0" w:space="0" w:color="auto"/>
        <w:right w:val="none" w:sz="0" w:space="0" w:color="auto"/>
      </w:divBdr>
    </w:div>
    <w:div w:id="1510100148">
      <w:bodyDiv w:val="1"/>
      <w:marLeft w:val="0"/>
      <w:marRight w:val="0"/>
      <w:marTop w:val="0"/>
      <w:marBottom w:val="0"/>
      <w:divBdr>
        <w:top w:val="none" w:sz="0" w:space="0" w:color="auto"/>
        <w:left w:val="none" w:sz="0" w:space="0" w:color="auto"/>
        <w:bottom w:val="none" w:sz="0" w:space="0" w:color="auto"/>
        <w:right w:val="none" w:sz="0" w:space="0" w:color="auto"/>
      </w:divBdr>
    </w:div>
    <w:div w:id="1660574670">
      <w:bodyDiv w:val="1"/>
      <w:marLeft w:val="0"/>
      <w:marRight w:val="0"/>
      <w:marTop w:val="0"/>
      <w:marBottom w:val="0"/>
      <w:divBdr>
        <w:top w:val="none" w:sz="0" w:space="0" w:color="auto"/>
        <w:left w:val="none" w:sz="0" w:space="0" w:color="auto"/>
        <w:bottom w:val="none" w:sz="0" w:space="0" w:color="auto"/>
        <w:right w:val="none" w:sz="0" w:space="0" w:color="auto"/>
      </w:divBdr>
    </w:div>
    <w:div w:id="1675692442">
      <w:bodyDiv w:val="1"/>
      <w:marLeft w:val="0"/>
      <w:marRight w:val="0"/>
      <w:marTop w:val="0"/>
      <w:marBottom w:val="0"/>
      <w:divBdr>
        <w:top w:val="none" w:sz="0" w:space="0" w:color="auto"/>
        <w:left w:val="none" w:sz="0" w:space="0" w:color="auto"/>
        <w:bottom w:val="none" w:sz="0" w:space="0" w:color="auto"/>
        <w:right w:val="none" w:sz="0" w:space="0" w:color="auto"/>
      </w:divBdr>
    </w:div>
    <w:div w:id="1704600585">
      <w:bodyDiv w:val="1"/>
      <w:marLeft w:val="0"/>
      <w:marRight w:val="0"/>
      <w:marTop w:val="0"/>
      <w:marBottom w:val="0"/>
      <w:divBdr>
        <w:top w:val="none" w:sz="0" w:space="0" w:color="auto"/>
        <w:left w:val="none" w:sz="0" w:space="0" w:color="auto"/>
        <w:bottom w:val="none" w:sz="0" w:space="0" w:color="auto"/>
        <w:right w:val="none" w:sz="0" w:space="0" w:color="auto"/>
      </w:divBdr>
    </w:div>
    <w:div w:id="176318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bluematterscience.com/ABTM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pps.bluematterscience.com/ABTMSE_Performanc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9B192-9E24-47E3-8D3C-04F5022D2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NOAA-SEFSC</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jhoolihan</dc:creator>
  <cp:keywords/>
  <dc:description/>
  <cp:lastModifiedBy>Matthew Lauretta</cp:lastModifiedBy>
  <cp:revision>2</cp:revision>
  <cp:lastPrinted>2019-03-07T17:20:00Z</cp:lastPrinted>
  <dcterms:created xsi:type="dcterms:W3CDTF">2022-10-05T14:55:00Z</dcterms:created>
  <dcterms:modified xsi:type="dcterms:W3CDTF">2022-10-05T14:55:00Z</dcterms:modified>
</cp:coreProperties>
</file>