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png" ContentType="image/png"/>
  <Override PartName="/word/media/rId49.png" ContentType="image/png"/>
  <Override PartName="/word/media/rId43.png" ContentType="image/png"/>
  <Override PartName="/word/media/rId39.png" ContentType="image/png"/>
  <Override PartName="/word/media/rId127.jpg" ContentType="image/jpeg"/>
  <Override PartName="/word/media/rId98.png" ContentType="image/png"/>
  <Override PartName="/word/media/rId94.png" ContentType="image/png"/>
  <Override PartName="/word/media/rId78.png" ContentType="image/png"/>
  <Override PartName="/word/media/rId22.png" ContentType="image/png"/>
  <Override PartName="/word/media/rId57.png" ContentType="image/png"/>
  <Override PartName="/word/media/rId82.png" ContentType="image/png"/>
  <Override PartName="/word/media/rId110.png" ContentType="image/png"/>
  <Override PartName="/word/media/rId120.png" ContentType="image/png"/>
  <Override PartName="/word/media/rId105.png" ContentType="image/png"/>
  <Override PartName="/word/media/rId115.png" ContentType="image/png"/>
  <Override PartName="/word/media/rId67.png" ContentType="image/png"/>
  <Override PartName="/word/media/rId35.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Consolidated Document for North Atlantic Albacore Management Strategy Evaluation</w:t>
      </w:r>
    </w:p>
    <w:p>
      <w:pPr>
        <w:pStyle w:val="Author"/>
      </w:pPr>
      <w:r>
        <w:t xml:space="preserve">Agurtzane Urtizberea</w:t>
      </w:r>
      <w:r>
        <w:rPr>
          <w:vertAlign w:val="superscript"/>
        </w:rPr>
        <w:t xml:space="preserve">1,✉</w:t>
      </w:r>
      <w:r>
        <w:t xml:space="preserve">, Giancarlo M. Correa</w:t>
      </w:r>
      <w:r>
        <w:rPr>
          <w:vertAlign w:val="superscript"/>
        </w:rPr>
        <w:t xml:space="preserve">1</w:t>
      </w:r>
      <w:r>
        <w:t xml:space="preserve">, Gorka Merino</w:t>
      </w:r>
      <w:r>
        <w:rPr>
          <w:vertAlign w:val="superscript"/>
        </w:rPr>
        <w:t xml:space="preserve">1</w:t>
      </w:r>
      <w:r>
        <w:t xml:space="preserve">, and Haritz Arrizabalaga</w:t>
      </w:r>
      <w:r>
        <w:rPr>
          <w:vertAlign w:val="superscript"/>
        </w:rPr>
        <w:t xml:space="preserve">1</w:t>
      </w:r>
    </w:p>
    <w:p>
      <w:pPr>
        <w:pStyle w:val="FirstParagraph"/>
      </w:pPr>
      <w:r>
        <w:rPr>
          <w:vertAlign w:val="superscript"/>
        </w:rPr>
        <w:t xml:space="preserve">1</w:t>
      </w:r>
      <w:r>
        <w:t xml:space="preserve"> </w:t>
      </w:r>
      <w:r>
        <w:t xml:space="preserve">AZTI, Marine Research, Basque Research and Technology Alliance (BRTA), Txatxarramendi ugartea z/g, 48395 Sukarrieta (Bizkaia), Spain</w:t>
      </w:r>
    </w:p>
    <w:p>
      <w:pPr>
        <w:pStyle w:val="Textoindependiente"/>
      </w:pPr>
      <w:r>
        <w:rPr>
          <w:vertAlign w:val="superscript"/>
        </w:rPr>
        <w:t xml:space="preserve">✉</w:t>
      </w:r>
      <w:r>
        <w:t xml:space="preserve"> </w:t>
      </w:r>
      <w:r>
        <w:t xml:space="preserve">Correspondence:</w:t>
      </w:r>
      <w:r>
        <w:t xml:space="preserve"> </w:t>
      </w:r>
      <w:hyperlink r:id="rId20">
        <w:r>
          <w:rPr>
            <w:rStyle w:val="Hipervnculo"/>
          </w:rPr>
          <w:t xml:space="preserve">Agurtzane Urtizberea &lt;aurtizberea@azti.es&gt;</w:t>
        </w:r>
      </w:hyperlink>
    </w:p>
    <w:p>
      <w:pPr>
        <w:pStyle w:val="Abstracttitle"/>
      </w:pPr>
      <w:r>
        <w:t xml:space="preserve">Summary</w:t>
      </w:r>
    </w:p>
    <w:p>
      <w:pPr>
        <w:pStyle w:val="Abstract"/>
      </w:pPr>
      <w:r>
        <w:t xml:space="preserve">In this document we compile the most important information of the working documents that describe the North Atlantic Albacore Management Strategy Evaluation (MSE) in a consolidated report in a way that contains all the information needed to: understand how the MSE framework was built; how it has been peer-reviewed and updated. This document is intended to be a reference document that can be updated in the future, if necessary, as the North Atlantic albacore MSE evolves. The</w:t>
      </w:r>
      <w:r>
        <w:t xml:space="preserve"> </w:t>
      </w:r>
      <w:r>
        <w:t xml:space="preserve">“living”</w:t>
      </w:r>
      <w:r>
        <w:t xml:space="preserve"> </w:t>
      </w:r>
      <w:r>
        <w:t xml:space="preserve">document can be found at</w:t>
      </w:r>
      <w:r>
        <w:t xml:space="preserve"> </w:t>
      </w:r>
      <w:hyperlink r:id="rId21">
        <w:r>
          <w:rPr>
            <w:rStyle w:val="Hipervnculo"/>
          </w:rPr>
          <w:t xml:space="preserve">https://iccat.github.io/nalb-mse-2/</w:t>
        </w:r>
      </w:hyperlink>
      <w:r>
        <w:t xml:space="preserve">.</w:t>
      </w:r>
    </w:p>
    <w:p>
      <w:pPr>
        <w:pStyle w:val="Keywords"/>
      </w:pPr>
      <w:r>
        <w:t xml:space="preserve">KEYWORDS</w:t>
      </w:r>
    </w:p>
    <w:p>
      <w:pPr>
        <w:pStyle w:val="Keywords"/>
      </w:pPr>
      <w:r>
        <w:t xml:space="preserve">North Atlantic albacore tuna, management strategy evaluation, FLBEIA, SPiCT</w:t>
      </w:r>
    </w:p>
    <w:p>
      <w:r>
        <w:br w:type="page"/>
      </w:r>
    </w:p>
    <w:bookmarkStart w:id="34" w:name="introduction"/>
    <w:p>
      <w:pPr>
        <w:pStyle w:val="Ttulo1"/>
      </w:pPr>
      <w:r>
        <w:t xml:space="preserve">Introduction</w:t>
      </w:r>
    </w:p>
    <w:p>
      <w:pPr>
        <w:pStyle w:val="FirstParagraph"/>
      </w:pPr>
      <w:r>
        <w:t xml:space="preserve">The North Atlantic Albacore (N-ALB) fishery, under the management of the International Commission for the Conservation of Atlantic Tuna (ICCAT), is undergoing a management strategy evaluation (MSE) process.</w:t>
      </w:r>
    </w:p>
    <w:bookmarkStart w:id="26" w:name="management-strategy-evaluation"/>
    <w:p>
      <w:pPr>
        <w:pStyle w:val="Ttulo2"/>
      </w:pPr>
      <w:r>
        <w:t xml:space="preserve">Management strategy evaluation</w:t>
      </w:r>
    </w:p>
    <w:p>
      <w:pPr>
        <w:pStyle w:val="FirstParagraph"/>
      </w:pPr>
      <w:r>
        <w:t xml:space="preserve">Process used in fisheries management to simulate and assess the performance of different management strategies under varying conditions and uncertainties (</w:t>
      </w:r>
      <w:hyperlink w:anchor="fig-mse">
        <w:r>
          <w:rPr>
            <w:rStyle w:val="Hipervnculo"/>
          </w:rPr>
          <w:t xml:space="preserve">Figure 1</w:t>
        </w:r>
      </w:hyperlink>
      <w:r>
        <w:t xml:space="preserve">).</w:t>
      </w:r>
    </w:p>
    <w:p>
      <w:pPr>
        <w:pStyle w:val="Textoindependiente"/>
      </w:pPr>
      <w:r>
        <w:t xml:space="preserve">There are three main components in an MSE process:</w:t>
      </w:r>
    </w:p>
    <w:p>
      <w:pPr>
        <w:pStyle w:val="Compact"/>
        <w:numPr>
          <w:ilvl w:val="0"/>
          <w:numId w:val="1001"/>
        </w:numPr>
      </w:pPr>
      <w:r>
        <w:rPr>
          <w:b/>
          <w:bCs/>
        </w:rPr>
        <w:t xml:space="preserve">Operating models (OMs)</w:t>
      </w:r>
      <w:r>
        <w:t xml:space="preserve">: a collection of mathematical/statistical models that describe alternative hypotheses of the historical fishery dynamics and specifications for simulating the collection of data and implementation of management measures in the future;</w:t>
      </w:r>
    </w:p>
    <w:p>
      <w:pPr>
        <w:pStyle w:val="Compact"/>
        <w:numPr>
          <w:ilvl w:val="0"/>
          <w:numId w:val="1001"/>
        </w:numPr>
      </w:pPr>
      <w:r>
        <w:rPr>
          <w:b/>
          <w:bCs/>
        </w:rPr>
        <w:t xml:space="preserve">Candidate management procedures (CMPs)</w:t>
      </w:r>
      <w:r>
        <w:t xml:space="preserve">: a set of proposed algorithms that generate management recommendations from fishery data and will be evaluated in the MSE;</w:t>
      </w:r>
    </w:p>
    <w:p>
      <w:pPr>
        <w:pStyle w:val="Compact"/>
        <w:numPr>
          <w:ilvl w:val="0"/>
          <w:numId w:val="1001"/>
        </w:numPr>
      </w:pPr>
      <w:r>
        <w:rPr>
          <w:b/>
          <w:bCs/>
        </w:rPr>
        <w:t xml:space="preserve">Performance indicators (PIs)</w:t>
      </w:r>
      <w:r>
        <w:t xml:space="preserve">: statistics used to quantitatively evaluate the CMPs against specified management objectives.</w:t>
      </w:r>
    </w:p>
    <w:p>
      <w:pPr>
        <w:pStyle w:val="FirstParagraph"/>
      </w:pPr>
      <w:r>
        <w:t xml:space="preserve">The OMs, CMPs, and PIs are developed as a collaborative effort between scientists, decision-makers, and other stakeholders in the fishery.</w:t>
      </w:r>
    </w:p>
    <w:tbl>
      <w:tblPr>
        <w:tblStyle w:val="Table"/>
        <w:tblW w:type="pct" w:w="5000"/>
        <w:tblLayout w:type="fixed"/>
        <w:tblLook w:firstRow="0" w:lastRow="0" w:firstColumn="0" w:lastColumn="0" w:noHBand="0" w:noVBand="0" w:val="0000"/>
      </w:tblPr>
      <w:tblGrid>
        <w:gridCol w:w="7920"/>
      </w:tblGrid>
      <w:tr>
        <w:tc>
          <w:tcPr/>
          <w:bookmarkStart w:id="25" w:name="fig-mse"/>
          <w:p>
            <w:pPr>
              <w:pStyle w:val="Compact"/>
              <w:jc w:val="center"/>
            </w:pPr>
            <w:r>
              <w:drawing>
                <wp:inline>
                  <wp:extent cx="5943600" cy="4484444"/>
                  <wp:effectExtent b="0" l="0" r="0" t="0"/>
                  <wp:docPr descr="" title="" id="23" name="Picture"/>
                  <a:graphic>
                    <a:graphicData uri="http://schemas.openxmlformats.org/drawingml/2006/picture">
                      <pic:pic>
                        <pic:nvPicPr>
                          <pic:cNvPr descr="../figures/mse.png" id="24" name="Picture"/>
                          <pic:cNvPicPr>
                            <a:picLocks noChangeArrowheads="1" noChangeAspect="1"/>
                          </pic:cNvPicPr>
                        </pic:nvPicPr>
                        <pic:blipFill>
                          <a:blip r:embed="rId22"/>
                          <a:stretch>
                            <a:fillRect/>
                          </a:stretch>
                        </pic:blipFill>
                        <pic:spPr bwMode="auto">
                          <a:xfrm>
                            <a:off x="0" y="0"/>
                            <a:ext cx="5943600" cy="448444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Management strategy evaluation (MSE) framework.</w:t>
            </w:r>
          </w:p>
          <w:bookmarkEnd w:id="25"/>
        </w:tc>
      </w:tr>
    </w:tbl>
    <w:bookmarkEnd w:id="26"/>
    <w:bookmarkStart w:id="30" w:name="about-this-document"/>
    <w:p>
      <w:pPr>
        <w:pStyle w:val="Ttulo2"/>
      </w:pPr>
      <w:r>
        <w:t xml:space="preserve">About this document</w:t>
      </w:r>
    </w:p>
    <w:p>
      <w:pPr>
        <w:pStyle w:val="FirstParagraph"/>
      </w:pPr>
      <w:r>
        <w:t xml:space="preserve">This document describes the specifications for the OMs, CMPs, and PIs that have been proposed and developed for the N-ALB fishery. It is a living document and will be continued to be updated so that it reflects the current state of the N-ALB MSE process. Members of the Albacore Species Group (ALBSG) are encouraged to provide feedback, comments, or edits to any part of this document.</w:t>
      </w:r>
    </w:p>
    <w:p>
      <w:pPr>
        <w:pStyle w:val="Textoindependiente"/>
      </w:pPr>
      <w:r>
        <w:t xml:space="preserve">The document is written using the</w:t>
      </w:r>
      <w:r>
        <w:t xml:space="preserve"> </w:t>
      </w:r>
      <w:hyperlink r:id="rId27">
        <w:r>
          <w:rPr>
            <w:rStyle w:val="Hipervnculo"/>
          </w:rPr>
          <w:t xml:space="preserve">Quarto</w:t>
        </w:r>
      </w:hyperlink>
      <w:r>
        <w:t xml:space="preserve"> </w:t>
      </w:r>
      <w:r>
        <w:t xml:space="preserve">format and can edited in any text editor. The source document is available on the</w:t>
      </w:r>
      <w:r>
        <w:t xml:space="preserve"> </w:t>
      </w:r>
      <w:hyperlink r:id="rId28">
        <w:r>
          <w:rPr>
            <w:rStyle w:val="Hipervnculo"/>
          </w:rPr>
          <w:t xml:space="preserve">MSE GitHub repository</w:t>
        </w:r>
      </w:hyperlink>
      <w:r>
        <w:t xml:space="preserve">. ALBSG members can make edits to the document either directly in the online repository or by cloning the repository and submitting pull requests with their edits. Alternatively, they can email questions or comments to</w:t>
      </w:r>
      <w:r>
        <w:t xml:space="preserve"> </w:t>
      </w:r>
      <w:hyperlink r:id="rId20">
        <w:r>
          <w:rPr>
            <w:rStyle w:val="Hipervnculo"/>
          </w:rPr>
          <w:t xml:space="preserve">the MSE developers</w:t>
        </w:r>
      </w:hyperlink>
      <w:r>
        <w:t xml:space="preserve">. The former approach has the advantage that all comments, questions, and edits are immediately visible to all members of the ALBSG. The</w:t>
      </w:r>
      <w:r>
        <w:t xml:space="preserve"> </w:t>
      </w:r>
      <w:hyperlink r:id="rId29">
        <w:r>
          <w:rPr>
            <w:rStyle w:val="Hipervnculo"/>
          </w:rPr>
          <w:t xml:space="preserve">Discussions feature</w:t>
        </w:r>
      </w:hyperlink>
      <w:r>
        <w:t xml:space="preserve"> </w:t>
      </w:r>
      <w:r>
        <w:t xml:space="preserve">on the Github repository can also be used to post questions, comments, or points for discussion related to any aspect of this document or the MSE process in general.</w:t>
      </w:r>
    </w:p>
    <w:p>
      <w:pPr>
        <w:pStyle w:val="Textoindependiente"/>
      </w:pPr>
      <w:r>
        <w:t xml:space="preserve">This document is available at the</w:t>
      </w:r>
      <w:r>
        <w:t xml:space="preserve"> </w:t>
      </w:r>
      <w:hyperlink r:id="rId21">
        <w:r>
          <w:rPr>
            <w:rStyle w:val="Hipervnculo"/>
          </w:rPr>
          <w:t xml:space="preserve">N-ALB MSE homepage</w:t>
        </w:r>
      </w:hyperlink>
      <w:r>
        <w:t xml:space="preserve">.</w:t>
      </w:r>
    </w:p>
    <w:bookmarkEnd w:id="30"/>
    <w:bookmarkStart w:id="33" w:name="mse-framework"/>
    <w:p>
      <w:pPr>
        <w:pStyle w:val="Ttulo2"/>
      </w:pPr>
      <w:r>
        <w:t xml:space="preserve">MSE framework</w:t>
      </w:r>
    </w:p>
    <w:p>
      <w:pPr>
        <w:pStyle w:val="FirstParagraph"/>
      </w:pPr>
      <w:r>
        <w:t xml:space="preserve">The R software has been used to developed the MSE code for the N-ALB fishery. All code is open-source and can be found on the</w:t>
      </w:r>
      <w:r>
        <w:t xml:space="preserve"> </w:t>
      </w:r>
      <w:hyperlink r:id="rId28">
        <w:r>
          <w:rPr>
            <w:rStyle w:val="Hipervnculo"/>
          </w:rPr>
          <w:t xml:space="preserve">MSE GitHub repository</w:t>
        </w:r>
      </w:hyperlink>
      <w:r>
        <w:t xml:space="preserve">.</w:t>
      </w:r>
    </w:p>
    <w:p>
      <w:pPr>
        <w:pStyle w:val="Textoindependiente"/>
      </w:pPr>
      <w:r>
        <w:t xml:space="preserve">The code developed for the N-ALB MSE uses the</w:t>
      </w:r>
      <w:r>
        <w:t xml:space="preserve"> </w:t>
      </w:r>
      <w:hyperlink r:id="rId31">
        <w:r>
          <w:rPr>
            <w:rStyle w:val="Hipervnculo"/>
          </w:rPr>
          <w:t xml:space="preserve">FLBEIA</w:t>
        </w:r>
      </w:hyperlink>
      <w:r>
        <w:t xml:space="preserve"> </w:t>
      </w:r>
      <w:r>
        <w:t xml:space="preserve">framework. FLBEIA</w:t>
      </w:r>
      <w:r>
        <w:t xml:space="preserve"> </w:t>
      </w:r>
      <w:r>
        <w:t xml:space="preserve">(</w:t>
      </w:r>
      <w:hyperlink w:anchor="ref-garciaFLBEIASimulationModel2017">
        <w:r>
          <w:rPr>
            <w:rStyle w:val="Hipervnculo"/>
          </w:rPr>
          <w:t xml:space="preserve">Garcia et al., 2017</w:t>
        </w:r>
      </w:hyperlink>
      <w:r>
        <w:t xml:space="preserve">)</w:t>
      </w:r>
      <w:r>
        <w:t xml:space="preserve"> </w:t>
      </w:r>
      <w:r>
        <w:t xml:space="preserve">is an R package that has been developed for conducting bio-economic evaluation of fisheries management strategies. The software allows the bio-economic evaluation of a wide range of management strategies in a great variety of case studies such as multi-stock, multi-fleet, stochastic and seasonal configurations. FLBEIA is built using FLR libraries.</w:t>
      </w:r>
      <w:r>
        <w:t xml:space="preserve"> </w:t>
      </w:r>
      <w:hyperlink r:id="rId32">
        <w:r>
          <w:rPr>
            <w:rStyle w:val="Hipervnculo"/>
          </w:rPr>
          <w:t xml:space="preserve">FLR</w:t>
        </w:r>
      </w:hyperlink>
      <w:r>
        <w:t xml:space="preserve"> </w:t>
      </w:r>
      <w:r>
        <w:t xml:space="preserve">is a collaborative project oriented to develop quantitative fisheries management tools.</w:t>
      </w:r>
    </w:p>
    <w:bookmarkEnd w:id="33"/>
    <w:bookmarkEnd w:id="34"/>
    <w:bookmarkStart w:id="56" w:name="stock-assessment"/>
    <w:p>
      <w:pPr>
        <w:pStyle w:val="Ttulo1"/>
      </w:pPr>
      <w:r>
        <w:t xml:space="preserve">Stock assessment</w:t>
      </w:r>
    </w:p>
    <w:p>
      <w:pPr>
        <w:pStyle w:val="FirstParagraph"/>
      </w:pPr>
      <w:r>
        <w:t xml:space="preserve">Previously, the N-ALB OMs were based on the 2013 stock assessment</w:t>
      </w:r>
      <w:r>
        <w:t xml:space="preserve"> </w:t>
      </w:r>
      <w:r>
        <w:t xml:space="preserve">(</w:t>
      </w:r>
      <w:hyperlink w:anchor="ref-merinoUpdatedConsolidatedReport2020">
        <w:r>
          <w:rPr>
            <w:rStyle w:val="Hipervnculo"/>
          </w:rPr>
          <w:t xml:space="preserve">Merino et al., 2020</w:t>
        </w:r>
      </w:hyperlink>
      <w:r>
        <w:t xml:space="preserve">,</w:t>
      </w:r>
      <w:r>
        <w:t xml:space="preserve"> </w:t>
      </w:r>
      <w:hyperlink w:anchor="ref-merinoPreliminaryStockAssessment2014">
        <w:r>
          <w:rPr>
            <w:rStyle w:val="Hipervnculo"/>
          </w:rPr>
          <w:t xml:space="preserve">2014</w:t>
        </w:r>
      </w:hyperlink>
      <w:r>
        <w:t xml:space="preserve">)</w:t>
      </w:r>
      <w:r>
        <w:t xml:space="preserve"> </w:t>
      </w:r>
      <w:r>
        <w:t xml:space="preserve">using the MULTIFAN-CL platform</w:t>
      </w:r>
      <w:r>
        <w:t xml:space="preserve"> </w:t>
      </w:r>
      <w:r>
        <w:t xml:space="preserve">(</w:t>
      </w:r>
      <w:hyperlink w:anchor="X3cd33e6240d606cd5d79b4bfa14a19c0a55bea0">
        <w:r>
          <w:rPr>
            <w:rStyle w:val="Hipervnculo"/>
          </w:rPr>
          <w:t xml:space="preserve">Fournier et al., 1998</w:t>
        </w:r>
      </w:hyperlink>
      <w:r>
        <w:t xml:space="preserve">)</w:t>
      </w:r>
      <w:r>
        <w:t xml:space="preserve">.</w:t>
      </w:r>
    </w:p>
    <w:p>
      <w:pPr>
        <w:pStyle w:val="Textoindependiente"/>
      </w:pPr>
      <w:r>
        <w:t xml:space="preserve">A new stock assessment was conducted in 2023</w:t>
      </w:r>
      <w:r>
        <w:t xml:space="preserve"> </w:t>
      </w:r>
      <w:r>
        <w:t xml:space="preserve">(</w:t>
      </w:r>
      <w:hyperlink w:anchor="ref-iccatReport2023ICCAT2023">
        <w:r>
          <w:rPr>
            <w:rStyle w:val="Hipervnculo"/>
          </w:rPr>
          <w:t xml:space="preserve">ICCAT, 2023</w:t>
        </w:r>
      </w:hyperlink>
      <w:r>
        <w:t xml:space="preserve">)</w:t>
      </w:r>
      <w:r>
        <w:t xml:space="preserve"> </w:t>
      </w:r>
      <w:r>
        <w:t xml:space="preserve">using the Stock Synthesis (SS3) platform</w:t>
      </w:r>
      <w:r>
        <w:t xml:space="preserve"> </w:t>
      </w:r>
      <w:r>
        <w:t xml:space="preserve">(</w:t>
      </w:r>
      <w:hyperlink w:anchor="ref-methotStockSynthesisBiological2013">
        <w:r>
          <w:rPr>
            <w:rStyle w:val="Hipervnculo"/>
          </w:rPr>
          <w:t xml:space="preserve">Methot and Wetzel, 2013</w:t>
        </w:r>
      </w:hyperlink>
      <w:r>
        <w:t xml:space="preserve">)</w:t>
      </w:r>
      <w:r>
        <w:t xml:space="preserve">. The N-ALB OMs have been updated based on this new assessment.</w:t>
      </w:r>
    </w:p>
    <w:p>
      <w:pPr>
        <w:pStyle w:val="Textoindependiente"/>
      </w:pPr>
      <w:r>
        <w:t xml:space="preserve">The data used in the 2023 N-ALB assessment as well as the structure and assumptions of the assessment model are summarized in the sections below.</w:t>
      </w:r>
    </w:p>
    <w:tbl>
      <w:tblPr>
        <w:tblStyle w:val="Table"/>
        <w:tblW w:type="pct" w:w="5000"/>
        <w:tblLayout w:type="fixed"/>
        <w:tblLook w:firstRow="0" w:lastRow="0" w:firstColumn="0" w:lastColumn="0" w:noHBand="0" w:noVBand="0" w:val="0000"/>
      </w:tblPr>
      <w:tblGrid>
        <w:gridCol w:w="7920"/>
      </w:tblGrid>
      <w:tr>
        <w:tc>
          <w:tcPr/>
          <w:bookmarkStart w:id="38" w:name="tbl-fleet"/>
          <w:p>
            <w:pPr>
              <w:jc w:val="center"/>
            </w:pPr>
            <w:pPr>
              <w:jc w:val="left"/>
              <w:spacing w:before="200"/>
              <w:pStyle w:val="ImageCaption"/>
            </w:pPr>
            <w:r>
              <w:t xml:space="preserve">Table 1: Fishing fleets included the 2023 N-ALB stock assessment. The last column indicates if the fleet had an associated index of abundance (catch-per-unit-effort, CPUE).</w:t>
            </w:r>
          </w:p>
          <w:p>
            <w:pPr>
              <w:jc w:val="center"/>
            </w:pPr>
            <w:r>
              <w:drawing>
                <wp:inline>
                  <wp:extent cx="5943600" cy="4446854"/>
                  <wp:effectExtent b="0" l="0" r="0" t="0"/>
                  <wp:docPr descr="" title="" id="36" name="Picture"/>
                  <a:graphic>
                    <a:graphicData uri="http://schemas.openxmlformats.org/drawingml/2006/picture">
                      <pic:pic>
                        <pic:nvPicPr>
                          <pic:cNvPr descr="tables_img/my_tmp_tab1.png" id="37" name="Picture"/>
                          <pic:cNvPicPr>
                            <a:picLocks noChangeArrowheads="1" noChangeAspect="1"/>
                          </pic:cNvPicPr>
                        </pic:nvPicPr>
                        <pic:blipFill>
                          <a:blip r:embed="rId35"/>
                          <a:stretch>
                            <a:fillRect/>
                          </a:stretch>
                        </pic:blipFill>
                        <pic:spPr bwMode="auto">
                          <a:xfrm>
                            <a:off x="0" y="0"/>
                            <a:ext cx="5943600" cy="4446854"/>
                          </a:xfrm>
                          <a:prstGeom prst="rect">
                            <a:avLst/>
                          </a:prstGeom>
                          <a:noFill/>
                          <a:ln w="9525">
                            <a:noFill/>
                            <a:headEnd/>
                            <a:tailEnd/>
                          </a:ln>
                        </pic:spPr>
                      </pic:pic>
                    </a:graphicData>
                  </a:graphic>
                </wp:inline>
              </w:drawing>
            </w:r>
          </w:p>
          <w:bookmarkEnd w:id="38"/>
        </w:tc>
      </w:tr>
    </w:tbl>
    <w:bookmarkStart w:id="47" w:name="data"/>
    <w:p>
      <w:pPr>
        <w:pStyle w:val="Ttulo2"/>
      </w:pPr>
      <w:r>
        <w:t xml:space="preserve">Data</w:t>
      </w:r>
    </w:p>
    <w:p>
      <w:pPr>
        <w:pStyle w:val="FirstParagraph"/>
      </w:pPr>
      <w:r>
        <w:t xml:space="preserve">The period covered was from 1930 to 2021. The assessment mainly used landings data from longline (LL) and baitboat (BB) fleets, with a total of 15 fleets included in the model (</w:t>
      </w:r>
      <w:hyperlink w:anchor="tbl-fleet">
        <w:r>
          <w:rPr>
            <w:rStyle w:val="Hipervnculo"/>
          </w:rPr>
          <w:t xml:space="preserve">Table 1</w:t>
        </w:r>
      </w:hyperlink>
      <w:r>
        <w:t xml:space="preserve"> </w:t>
      </w:r>
      <w:r>
        <w:t xml:space="preserve">and</w:t>
      </w:r>
      <w:r>
        <w:t xml:space="preserve"> </w:t>
      </w:r>
      <w:hyperlink w:anchor="fig-data">
        <w:r>
          <w:rPr>
            <w:rStyle w:val="Hipervnculo"/>
          </w:rPr>
          <w:t xml:space="preserve">Figure 2</w:t>
        </w:r>
      </w:hyperlink>
      <w:r>
        <w:t xml:space="preserve">). There were seven LL and one BB (Spain and France) catch-per-unit-effort (CPUE) indices (</w:t>
      </w:r>
      <w:hyperlink w:anchor="fig-cpue">
        <w:r>
          <w:rPr>
            <w:rStyle w:val="Hipervnculo"/>
          </w:rPr>
          <w:t xml:space="preserve">Figure 3</w:t>
        </w:r>
      </w:hyperlink>
      <w:r>
        <w:t xml:space="preserve">). The catchability coefficients for the CPUE indices were assumed to be time-invariant.</w:t>
      </w:r>
    </w:p>
    <w:tbl>
      <w:tblPr>
        <w:tblStyle w:val="Table"/>
        <w:tblW w:type="pct" w:w="5000"/>
        <w:tblLayout w:type="fixed"/>
        <w:tblLook w:firstRow="0" w:lastRow="0" w:firstColumn="0" w:lastColumn="0" w:noHBand="0" w:noVBand="0" w:val="0000"/>
      </w:tblPr>
      <w:tblGrid>
        <w:gridCol w:w="7920"/>
      </w:tblGrid>
      <w:tr>
        <w:tc>
          <w:tcPr/>
          <w:bookmarkStart w:id="42" w:name="fig-data"/>
          <w:p>
            <w:pPr>
              <w:pStyle w:val="Compact"/>
              <w:jc w:val="center"/>
            </w:pPr>
            <w:r>
              <w:drawing>
                <wp:inline>
                  <wp:extent cx="4754880" cy="5705319"/>
                  <wp:effectExtent b="0" l="0" r="0" t="0"/>
                  <wp:docPr descr="" title="" id="40" name="Picture"/>
                  <a:graphic>
                    <a:graphicData uri="http://schemas.openxmlformats.org/drawingml/2006/picture">
                      <pic:pic>
                        <pic:nvPicPr>
                          <pic:cNvPr descr="../figures/data_plot2.png" id="41" name="Picture"/>
                          <pic:cNvPicPr>
                            <a:picLocks noChangeArrowheads="1" noChangeAspect="1"/>
                          </pic:cNvPicPr>
                        </pic:nvPicPr>
                        <pic:blipFill>
                          <a:blip r:embed="rId39"/>
                          <a:stretch>
                            <a:fillRect/>
                          </a:stretch>
                        </pic:blipFill>
                        <pic:spPr bwMode="auto">
                          <a:xfrm>
                            <a:off x="0" y="0"/>
                            <a:ext cx="4754880" cy="570531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Summary of the data used in the 2023 NALB stock assessment. The bubble size represents the quantity or precision of the data.</w:t>
            </w:r>
          </w:p>
          <w:bookmarkEnd w:id="42"/>
        </w:tc>
      </w:tr>
    </w:tbl>
    <w:p>
      <w:pPr>
        <w:pStyle w:val="Textoindependiente"/>
      </w:pPr>
      <w:r>
        <w:t xml:space="preserve">Length composition data from 12 fleets were included in the model, mostly from LL and BB fleets and for the period after 1970 (</w:t>
      </w:r>
      <w:hyperlink w:anchor="fig-data">
        <w:r>
          <w:rPr>
            <w:rStyle w:val="Hipervnculo"/>
          </w:rPr>
          <w:t xml:space="preserve">Figure 2</w:t>
        </w:r>
      </w:hyperlink>
      <w:r>
        <w:t xml:space="preserve">). The effective sample size (ESS) for the length composition data was established by adjusting ESS until unity was reached between modeled ESS and the Francis suggested sample size</w:t>
      </w:r>
      <w:r>
        <w:t xml:space="preserve"> </w:t>
      </w:r>
      <w:r>
        <w:t xml:space="preserve">(</w:t>
      </w:r>
      <w:hyperlink w:anchor="ref-francisDataWeightingStatistical2011">
        <w:r>
          <w:rPr>
            <w:rStyle w:val="Hipervnculo"/>
          </w:rPr>
          <w:t xml:space="preserve">Francis, 2011</w:t>
        </w:r>
      </w:hyperlink>
      <w:r>
        <w:t xml:space="preserve">)</w:t>
      </w:r>
      <w:r>
        <w:t xml:space="preserve">. Conditional age-at-length (CAAL) data was also included for the BB (France and Spain) fleet.</w:t>
      </w:r>
    </w:p>
    <w:tbl>
      <w:tblPr>
        <w:tblStyle w:val="Table"/>
        <w:tblW w:type="pct" w:w="5000"/>
        <w:tblLayout w:type="fixed"/>
        <w:tblLook w:firstRow="0" w:lastRow="0" w:firstColumn="0" w:lastColumn="0" w:noHBand="0" w:noVBand="0" w:val="0000"/>
      </w:tblPr>
      <w:tblGrid>
        <w:gridCol w:w="7920"/>
      </w:tblGrid>
      <w:tr>
        <w:tc>
          <w:tcPr/>
          <w:bookmarkStart w:id="46" w:name="fig-cpue"/>
          <w:p>
            <w:pPr>
              <w:pStyle w:val="Compact"/>
              <w:jc w:val="center"/>
            </w:pPr>
            <w:r>
              <w:drawing>
                <wp:inline>
                  <wp:extent cx="5416061" cy="3972593"/>
                  <wp:effectExtent b="0" l="0" r="0" t="0"/>
                  <wp:docPr descr="" title="" id="44" name="Picture"/>
                  <a:graphic>
                    <a:graphicData uri="http://schemas.openxmlformats.org/drawingml/2006/picture">
                      <pic:pic>
                        <pic:nvPicPr>
                          <pic:cNvPr descr="../figures/cpue_obs.png" id="45" name="Picture"/>
                          <pic:cNvPicPr>
                            <a:picLocks noChangeArrowheads="1" noChangeAspect="1"/>
                          </pic:cNvPicPr>
                        </pic:nvPicPr>
                        <pic:blipFill>
                          <a:blip r:embed="rId43"/>
                          <a:stretch>
                            <a:fillRect/>
                          </a:stretch>
                        </pic:blipFill>
                        <pic:spPr bwMode="auto">
                          <a:xfrm>
                            <a:off x="0" y="0"/>
                            <a:ext cx="5416061" cy="3972593"/>
                          </a:xfrm>
                          <a:prstGeom prst="rect">
                            <a:avLst/>
                          </a:prstGeom>
                          <a:noFill/>
                          <a:ln w="9525">
                            <a:noFill/>
                            <a:headEnd/>
                            <a:tailEnd/>
                          </a:ln>
                        </pic:spPr>
                      </pic:pic>
                    </a:graphicData>
                  </a:graphic>
                </wp:inline>
              </w:drawing>
            </w:r>
          </w:p>
          <w:p>
            <w:pPr>
              <w:jc w:val="center"/>
            </w:pPr>
            <w:pPr>
              <w:jc w:val="left"/>
              <w:spacing w:before="200"/>
              <w:pStyle w:val="ImageCaption"/>
            </w:pPr>
            <w:r>
              <w:t xml:space="preserve">Figure 3: Indices of abundance (CPUE) by fleet included in the N-ALB assessment model.</w:t>
            </w:r>
          </w:p>
          <w:bookmarkEnd w:id="46"/>
        </w:tc>
      </w:tr>
    </w:tbl>
    <w:bookmarkEnd w:id="47"/>
    <w:bookmarkStart w:id="48" w:name="model-structure"/>
    <w:p>
      <w:pPr>
        <w:pStyle w:val="Ttulo2"/>
      </w:pPr>
      <w:r>
        <w:t xml:space="preserve">Model structure</w:t>
      </w:r>
    </w:p>
    <w:p>
      <w:pPr>
        <w:pStyle w:val="FirstParagraph"/>
      </w:pPr>
      <w:r>
        <w:t xml:space="preserve">The model was configured yearly (one season per year), one sex, one area, and a total of 16 age groups (0 to 15+). The spawning timing was January 1st.</w:t>
      </w:r>
    </w:p>
    <w:bookmarkEnd w:id="48"/>
    <w:bookmarkStart w:id="53" w:name="biological-parameters"/>
    <w:p>
      <w:pPr>
        <w:pStyle w:val="Ttulo2"/>
      </w:pPr>
      <w:r>
        <w:t xml:space="preserve">Biological Parameters</w:t>
      </w:r>
    </w:p>
    <w:p>
      <w:pPr>
        <w:pStyle w:val="FirstParagraph"/>
      </w:pPr>
      <w:r>
        <w:t xml:space="preserve">Natural mortality (M) was age-specific and parametrized following</w:t>
      </w:r>
      <w:r>
        <w:t xml:space="preserve"> </w:t>
      </w:r>
      <w:r>
        <w:t xml:space="preserve">Lorenzen (</w:t>
      </w:r>
      <w:hyperlink w:anchor="ref-lorenzenRelationshipBodyWeight1996">
        <w:r>
          <w:rPr>
            <w:rStyle w:val="Hipervnculo"/>
          </w:rPr>
          <w:t xml:space="preserve">1996</w:t>
        </w:r>
      </w:hyperlink>
      <w:r>
        <w:t xml:space="preserve">)</w:t>
      </w:r>
      <w:r>
        <w:t xml:space="preserve">, with a reference M equal to 0.36 for age 6 based on the assumption of a maximum age of 15 years</w:t>
      </w:r>
      <w:r>
        <w:t xml:space="preserve"> </w:t>
      </w:r>
      <w:r>
        <w:t xml:space="preserve">(</w:t>
      </w:r>
      <w:hyperlink w:anchor="X8ec614ca500bb4dd60d1f090925084c623f94f8">
        <w:r>
          <w:rPr>
            <w:rStyle w:val="Hipervnculo"/>
          </w:rPr>
          <w:t xml:space="preserve">Hamel and Cope, 2022</w:t>
        </w:r>
      </w:hyperlink>
      <w:r>
        <w:t xml:space="preserve">)</w:t>
      </w:r>
      <w:r>
        <w:t xml:space="preserve">. Maturity-at-age was knife-edge, with 50% at age-5 and 100% thereafter. Fecundity was proportional to body weight. Growth was parametrized following the von Bertalanffy curve</w:t>
      </w:r>
      <w:r>
        <w:t xml:space="preserve"> </w:t>
      </w:r>
      <w:r>
        <w:t xml:space="preserve">(</w:t>
      </w:r>
      <w:hyperlink w:anchor="ref-schnuteVersatileGrowthModel1981">
        <w:r>
          <w:rPr>
            <w:rStyle w:val="Hipervnculo"/>
          </w:rPr>
          <w:t xml:space="preserve">Schnute, 1981</w:t>
        </w:r>
      </w:hyperlink>
      <w:r>
        <w:t xml:space="preserve">)</w:t>
      </w:r>
      <w:r>
        <w:t xml:space="preserve"> </w:t>
      </w:r>
      <w:r>
        <w:t xml:space="preserve">and parameters were estimated within the model. Variability of lengths-at-age was assumed to be a function of age.</w:t>
      </w:r>
      <w:r>
        <w:t xml:space="preserve"> </w:t>
      </w:r>
      <w:hyperlink w:anchor="fig-biology">
        <w:r>
          <w:rPr>
            <w:rStyle w:val="Hipervnculo"/>
          </w:rPr>
          <w:t xml:space="preserve">Figure 4</w:t>
        </w:r>
      </w:hyperlink>
      <w:r>
        <w:t xml:space="preserve"> </w:t>
      </w:r>
      <w:r>
        <w:t xml:space="preserve">shows a summary of the biological parametrization.</w:t>
      </w:r>
    </w:p>
    <w:tbl>
      <w:tblPr>
        <w:tblStyle w:val="Table"/>
        <w:tblW w:type="pct" w:w="5000"/>
        <w:tblLayout w:type="fixed"/>
        <w:tblLook w:firstRow="0" w:lastRow="0" w:firstColumn="0" w:lastColumn="0" w:noHBand="0" w:noVBand="0" w:val="0000"/>
      </w:tblPr>
      <w:tblGrid>
        <w:gridCol w:w="7920"/>
      </w:tblGrid>
      <w:tr>
        <w:tc>
          <w:tcPr/>
          <w:bookmarkStart w:id="52" w:name="fig-biology"/>
          <w:p>
            <w:pPr>
              <w:pStyle w:val="Compact"/>
              <w:jc w:val="center"/>
            </w:pPr>
            <w:r>
              <w:drawing>
                <wp:inline>
                  <wp:extent cx="5943600" cy="2096695"/>
                  <wp:effectExtent b="0" l="0" r="0" t="0"/>
                  <wp:docPr descr="" title="" id="50" name="Picture"/>
                  <a:graphic>
                    <a:graphicData uri="http://schemas.openxmlformats.org/drawingml/2006/picture">
                      <pic:pic>
                        <pic:nvPicPr>
                          <pic:cNvPr descr="../figures/biology.png" id="51" name="Picture"/>
                          <pic:cNvPicPr>
                            <a:picLocks noChangeArrowheads="1" noChangeAspect="1"/>
                          </pic:cNvPicPr>
                        </pic:nvPicPr>
                        <pic:blipFill>
                          <a:blip r:embed="rId49"/>
                          <a:stretch>
                            <a:fillRect/>
                          </a:stretch>
                        </pic:blipFill>
                        <pic:spPr bwMode="auto">
                          <a:xfrm>
                            <a:off x="0" y="0"/>
                            <a:ext cx="5943600" cy="209669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Growth, maturity, and natural mortality parametrized in the NALB assessment model.</w:t>
            </w:r>
          </w:p>
          <w:bookmarkEnd w:id="52"/>
        </w:tc>
      </w:tr>
    </w:tbl>
    <w:bookmarkEnd w:id="53"/>
    <w:bookmarkStart w:id="54" w:name="stock-recruitment"/>
    <w:p>
      <w:pPr>
        <w:pStyle w:val="Ttulo2"/>
      </w:pPr>
      <w:r>
        <w:t xml:space="preserve">Stock-Recruitment</w:t>
      </w:r>
    </w:p>
    <w:p>
      <w:pPr>
        <w:pStyle w:val="FirstParagraph"/>
      </w:pPr>
      <w:r>
        <w:t xml:space="preserve">Expected recruitment to age-0 was calculated from the total spawning stock biomass using the Beverton-Holt stock-recruit function. Recruitment settlement was assumed to occur at month 6. The standard error for the log-normally distributed recruitment deviations (sigmaR) was fixed to 0.4. Steepness (h) was estimated within the model with a prior of 0.75 taken from the 2013 assessment.</w:t>
      </w:r>
    </w:p>
    <w:bookmarkEnd w:id="54"/>
    <w:bookmarkStart w:id="55" w:name="selectivity"/>
    <w:p>
      <w:pPr>
        <w:pStyle w:val="Ttulo2"/>
      </w:pPr>
      <w:r>
        <w:t xml:space="preserve">Selectivity</w:t>
      </w:r>
    </w:p>
    <w:p>
      <w:pPr>
        <w:pStyle w:val="FirstParagraph"/>
      </w:pPr>
      <w:r>
        <w:t xml:space="preserve">Selectivity was modelled as a function of length. Dome-shaped selectivity was allowed for several LL and BB fleets, while an asymptotic selectivity was speficied for the US and Venezuela LL fleets. Splines were also used for the BB (Spain and France) and mid-water trawl. Time blocks were specified for some fleets due to changes in length composition data.</w:t>
      </w:r>
    </w:p>
    <w:bookmarkEnd w:id="55"/>
    <w:bookmarkEnd w:id="56"/>
    <w:bookmarkStart w:id="77" w:name="operating-models"/>
    <w:p>
      <w:pPr>
        <w:pStyle w:val="Ttulo1"/>
      </w:pPr>
      <w:r>
        <w:t xml:space="preserve">Operating Models</w:t>
      </w:r>
    </w:p>
    <w:bookmarkStart w:id="61" w:name="reference-oms"/>
    <w:p>
      <w:pPr>
        <w:pStyle w:val="Ttulo2"/>
      </w:pPr>
      <w:r>
        <w:t xml:space="preserve">Reference OMs</w:t>
      </w:r>
    </w:p>
    <w:p>
      <w:pPr>
        <w:pStyle w:val="FirstParagraph"/>
      </w:pPr>
      <w:r>
        <w:t xml:space="preserve">During 2023 and 2024, the ALBSG developed a set of OMs considering variations in natural mortality (</w:t>
      </w:r>
      <w:r>
        <w:rPr>
          <w:i/>
          <w:iCs/>
        </w:rPr>
        <w:t xml:space="preserve">M</w:t>
      </w:r>
      <w:r>
        <w:t xml:space="preserve">), variability in recruitment (</w:t>
      </w:r>
      <w:r>
        <w:rPr>
          <w:i/>
          <w:iCs/>
        </w:rPr>
        <w:t xml:space="preserve">sigmaR</w:t>
      </w:r>
      <w:r>
        <w:t xml:space="preserve">), and the weighting of the following data sources:</w:t>
      </w:r>
    </w:p>
    <w:p>
      <w:pPr>
        <w:pStyle w:val="Compact"/>
        <w:numPr>
          <w:ilvl w:val="0"/>
          <w:numId w:val="1002"/>
        </w:numPr>
      </w:pPr>
      <w:r>
        <w:t xml:space="preserve">Base case (no change)</w:t>
      </w:r>
    </w:p>
    <w:p>
      <w:pPr>
        <w:pStyle w:val="Compact"/>
        <w:numPr>
          <w:ilvl w:val="0"/>
          <w:numId w:val="1002"/>
        </w:numPr>
      </w:pPr>
      <w:r>
        <w:t xml:space="preserve">Upweight (</w:t>
      </w:r>
      <m:oMath>
        <m:r>
          <m:t>λ</m:t>
        </m:r>
        <m:r>
          <m:rPr>
            <m:sty m:val="p"/>
          </m:rPr>
          <m:t>=</m:t>
        </m:r>
        <m:r>
          <m:t>2</m:t>
        </m:r>
      </m:oMath>
      <w:r>
        <w:t xml:space="preserve">) CPUE data</w:t>
      </w:r>
    </w:p>
    <w:p>
      <w:pPr>
        <w:pStyle w:val="Compact"/>
        <w:numPr>
          <w:ilvl w:val="0"/>
          <w:numId w:val="1002"/>
        </w:numPr>
      </w:pPr>
      <w:r>
        <w:t xml:space="preserve">Upweight (</w:t>
      </w:r>
      <m:oMath>
        <m:r>
          <m:t>λ</m:t>
        </m:r>
        <m:r>
          <m:rPr>
            <m:sty m:val="p"/>
          </m:rPr>
          <m:t>=</m:t>
        </m:r>
        <m:r>
          <m:t>2</m:t>
        </m:r>
      </m:oMath>
      <w:r>
        <w:t xml:space="preserve">) size (i.e., length composition) data</w:t>
      </w:r>
    </w:p>
    <w:p>
      <w:pPr>
        <w:pStyle w:val="Compact"/>
        <w:numPr>
          <w:ilvl w:val="0"/>
          <w:numId w:val="1002"/>
        </w:numPr>
      </w:pPr>
      <w:r>
        <w:t xml:space="preserve">Upweight (</w:t>
      </w:r>
      <m:oMath>
        <m:r>
          <m:t>λ</m:t>
        </m:r>
        <m:r>
          <m:rPr>
            <m:sty m:val="p"/>
          </m:rPr>
          <m:t>=</m:t>
        </m:r>
        <m:r>
          <m:t>2</m:t>
        </m:r>
      </m:oMath>
      <w:r>
        <w:t xml:space="preserve">) age (i.e., CAAL) data</w:t>
      </w:r>
    </w:p>
    <w:p>
      <w:pPr>
        <w:pStyle w:val="FirstParagraph"/>
      </w:pPr>
      <w:r>
        <w:t xml:space="preserve">Per weighting scenario, 400 models were run in SS3 by randomly varying the M and sigmaR values sampled from a normal distribution with mean 0.36 and 0.4, respectively, and a coefficient of variation of 0.2 (</w:t>
      </w:r>
      <w:hyperlink w:anchor="fig-pars">
        <w:r>
          <w:rPr>
            <w:rStyle w:val="Hipervnculo"/>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 w:name="fig-pars"/>
          <w:p>
            <w:pPr>
              <w:pStyle w:val="Compact"/>
              <w:jc w:val="center"/>
            </w:pPr>
            <w:r>
              <w:drawing>
                <wp:inline>
                  <wp:extent cx="5052060" cy="2524603"/>
                  <wp:effectExtent b="0" l="0" r="0" t="0"/>
                  <wp:docPr descr="" title="" id="58" name="Picture"/>
                  <a:graphic>
                    <a:graphicData uri="http://schemas.openxmlformats.org/drawingml/2006/picture">
                      <pic:pic>
                        <pic:nvPicPr>
                          <pic:cNvPr descr="../figures/par_sample.png" id="59" name="Picture"/>
                          <pic:cNvPicPr>
                            <a:picLocks noChangeArrowheads="1" noChangeAspect="1"/>
                          </pic:cNvPicPr>
                        </pic:nvPicPr>
                        <pic:blipFill>
                          <a:blip r:embed="rId57"/>
                          <a:stretch>
                            <a:fillRect/>
                          </a:stretch>
                        </pic:blipFill>
                        <pic:spPr bwMode="auto">
                          <a:xfrm>
                            <a:off x="0" y="0"/>
                            <a:ext cx="5052060" cy="2524603"/>
                          </a:xfrm>
                          <a:prstGeom prst="rect">
                            <a:avLst/>
                          </a:prstGeom>
                          <a:noFill/>
                          <a:ln w="9525">
                            <a:noFill/>
                            <a:headEnd/>
                            <a:tailEnd/>
                          </a:ln>
                        </pic:spPr>
                      </pic:pic>
                    </a:graphicData>
                  </a:graphic>
                </wp:inline>
              </w:drawing>
            </w:r>
          </w:p>
          <w:p>
            <w:pPr>
              <w:jc w:val="center"/>
            </w:pPr>
            <w:pPr>
              <w:jc w:val="left"/>
              <w:spacing w:before="200"/>
              <w:pStyle w:val="ImageCaption"/>
            </w:pPr>
            <w:r>
              <w:t xml:space="preserve">Figure 5: Values of natural mortality (M) and recruitment variability (sigmaR) simulated in the OMs.</w:t>
            </w:r>
          </w:p>
          <w:bookmarkEnd w:id="60"/>
        </w:tc>
      </w:tr>
    </w:tbl>
    <w:p>
      <w:pPr>
        <w:pStyle w:val="Textoindependiente"/>
      </w:pPr>
      <w:r>
        <w:t xml:space="preserve">Then, 100 models per weighting scenario were selected based on maximum gradient, likelihood, and the ratio of virgin and spawning biomass values in order to remove unrealistic or nonconvergent runs. We consider this final set of 400 models (100 models per weighting scenario) as our Reference OMs.</w:t>
      </w:r>
    </w:p>
    <w:bookmarkEnd w:id="61"/>
    <w:bookmarkStart w:id="62" w:name="robustness-oms"/>
    <w:p>
      <w:pPr>
        <w:pStyle w:val="Ttulo2"/>
      </w:pPr>
      <w:r>
        <w:t xml:space="preserve">Robustness OMs</w:t>
      </w:r>
    </w:p>
    <w:p>
      <w:pPr>
        <w:pStyle w:val="FirstParagraph"/>
      </w:pPr>
      <w:r>
        <w:t xml:space="preserve">The robustness scenarios explored the impacts of changes in</w:t>
      </w:r>
      <w:r>
        <w:t xml:space="preserve"> </w:t>
      </w:r>
      <m:oMath>
        <m:sSub>
          <m:e>
            <m:r>
              <m:t>R</m:t>
            </m:r>
          </m:e>
          <m:sub>
            <m:r>
              <m:t>0</m:t>
            </m:r>
          </m:sub>
        </m:sSub>
      </m:oMath>
      <w:r>
        <w:t xml:space="preserve"> </w:t>
      </w:r>
      <w:r>
        <w:t xml:space="preserve">and recruitment variability:</w:t>
      </w:r>
    </w:p>
    <w:p>
      <w:pPr>
        <w:numPr>
          <w:ilvl w:val="0"/>
          <w:numId w:val="1003"/>
        </w:numPr>
      </w:pPr>
      <w:r>
        <w:t xml:space="preserve">Changes in</w:t>
      </w:r>
      <w:r>
        <w:t xml:space="preserve"> </w:t>
      </w:r>
      <m:oMath>
        <m:sSub>
          <m:e>
            <m:r>
              <m:t>R</m:t>
            </m:r>
          </m:e>
          <m:sub>
            <m:r>
              <m:t>0</m:t>
            </m:r>
          </m:sub>
        </m:sSub>
      </m:oMath>
      <w:r>
        <w:t xml:space="preserve">: decrease or increase in the</w:t>
      </w:r>
      <w:r>
        <w:t xml:space="preserve"> </w:t>
      </w:r>
      <m:oMath>
        <m:sSub>
          <m:e>
            <m:r>
              <m:t>R</m:t>
            </m:r>
          </m:e>
          <m:sub>
            <m:r>
              <m:t>0</m:t>
            </m:r>
          </m:sub>
        </m:sSub>
      </m:oMath>
      <w:r>
        <w:t xml:space="preserve"> </w:t>
      </w:r>
      <w:r>
        <w:t xml:space="preserve">parameter of the Beverton-Holt relationship by 20% in the projection period from the estimated values in the Reference OMs.</w:t>
      </w:r>
    </w:p>
    <w:p>
      <w:pPr>
        <w:numPr>
          <w:ilvl w:val="0"/>
          <w:numId w:val="1003"/>
        </w:numPr>
      </w:pPr>
      <w:r>
        <w:t xml:space="preserve">Changes in sigmaR: increase in the recruitment variability by 20% in the simulation period from the estimated values in the Reference OMs.</w:t>
      </w:r>
    </w:p>
    <w:bookmarkEnd w:id="62"/>
    <w:bookmarkStart w:id="66" w:name="validation"/>
    <w:p>
      <w:pPr>
        <w:pStyle w:val="Ttulo2"/>
      </w:pPr>
      <w:r>
        <w:t xml:space="preserve">Validation</w:t>
      </w:r>
    </w:p>
    <w:bookmarkStart w:id="64" w:name="summary-report"/>
    <w:p>
      <w:pPr>
        <w:pStyle w:val="Ttulo3"/>
      </w:pPr>
      <w:r>
        <w:t xml:space="preserve">Summary Report</w:t>
      </w:r>
    </w:p>
    <w:p>
      <w:pPr>
        <w:pStyle w:val="FirstParagraph"/>
      </w:pPr>
      <w:r>
        <w:t xml:space="preserve">A Summary Report summarizes the estimated parameters, the calculated biological reference points, and the estimated stock status relative to those reference points, across the 400 Reference OMs. This can be found in the</w:t>
      </w:r>
      <w:r>
        <w:t xml:space="preserve"> </w:t>
      </w:r>
      <w:hyperlink r:id="rId63">
        <w:r>
          <w:rPr>
            <w:rStyle w:val="Hipervnculo"/>
          </w:rPr>
          <w:t xml:space="preserve">Trial Specifications Document</w:t>
        </w:r>
      </w:hyperlink>
      <w:r>
        <w:t xml:space="preserve">.</w:t>
      </w:r>
    </w:p>
    <w:bookmarkEnd w:id="64"/>
    <w:bookmarkStart w:id="65" w:name="diagnostic-reports"/>
    <w:p>
      <w:pPr>
        <w:pStyle w:val="Ttulo3"/>
      </w:pPr>
      <w:r>
        <w:t xml:space="preserve">Diagnostic Reports</w:t>
      </w:r>
    </w:p>
    <w:p>
      <w:pPr>
        <w:pStyle w:val="FirstParagraph"/>
      </w:pPr>
      <w:r>
        <w:t xml:space="preserve">Individual diagnostic reports with objective function values and plots of model fits and patterns in residuals are available for each of the 400 Reference OMs. This can be found in the</w:t>
      </w:r>
      <w:r>
        <w:t xml:space="preserve"> </w:t>
      </w:r>
      <w:hyperlink r:id="rId63">
        <w:r>
          <w:rPr>
            <w:rStyle w:val="Hipervnculo"/>
          </w:rPr>
          <w:t xml:space="preserve">Trial Specifications Document</w:t>
        </w:r>
      </w:hyperlink>
      <w:r>
        <w:t xml:space="preserve">.</w:t>
      </w:r>
    </w:p>
    <w:bookmarkEnd w:id="65"/>
    <w:bookmarkEnd w:id="66"/>
    <w:bookmarkStart w:id="76" w:name="conditioning"/>
    <w:p>
      <w:pPr>
        <w:pStyle w:val="Ttulo2"/>
      </w:pPr>
      <w:r>
        <w:t xml:space="preserve">Conditioning</w:t>
      </w:r>
    </w:p>
    <w:p>
      <w:pPr>
        <w:pStyle w:val="FirstParagraph"/>
      </w:pPr>
      <w:r>
        <w:t xml:space="preserve">The Reference OMs were conditioned in FLBEIA with the same biological configuration and fleet structure of the SS3 models (</w:t>
      </w:r>
      <w:hyperlink w:anchor="tbl-fleet">
        <w:r>
          <w:rPr>
            <w:rStyle w:val="Hipervnculo"/>
          </w:rPr>
          <w:t xml:space="preserve">Table 1</w:t>
        </w:r>
      </w:hyperlink>
      <w:r>
        <w:t xml:space="preserve">). Two main periods are modelled in the MSE framework: historical and simulation periods (</w:t>
      </w:r>
      <w:hyperlink w:anchor="fig-time">
        <w:r>
          <w:rPr>
            <w:rStyle w:val="Hipervnculo"/>
          </w:rPr>
          <w:t xml:space="preserve">Figure 6</w:t>
        </w:r>
      </w:hyperlink>
      <w:r>
        <w:t xml:space="preserve">), with important differences in the data generation and observation error model (OEM).</w:t>
      </w:r>
    </w:p>
    <w:tbl>
      <w:tblPr>
        <w:tblStyle w:val="Table"/>
        <w:tblW w:type="pct" w:w="5000"/>
        <w:tblLayout w:type="fixed"/>
        <w:tblLook w:firstRow="0" w:lastRow="0" w:firstColumn="0" w:lastColumn="0" w:noHBand="0" w:noVBand="0" w:val="0000"/>
      </w:tblPr>
      <w:tblGrid>
        <w:gridCol w:w="7920"/>
      </w:tblGrid>
      <w:tr>
        <w:tc>
          <w:tcPr/>
          <w:bookmarkStart w:id="70" w:name="fig-time"/>
          <w:p>
            <w:pPr>
              <w:jc w:val="center"/>
            </w:pPr>
            <w:r>
              <w:drawing>
                <wp:inline>
                  <wp:extent cx="5623560" cy="5632704"/>
                  <wp:effectExtent b="0" l="0" r="0" t="0"/>
                  <wp:docPr descr="" title="" id="68" name="Picture"/>
                  <a:graphic>
                    <a:graphicData uri="http://schemas.openxmlformats.org/drawingml/2006/picture">
                      <pic:pic>
                        <pic:nvPicPr>
                          <pic:cNvPr descr="Cons_Doc_files\figure-docx\mermaid-figure-1.png" id="69" name="Picture"/>
                          <pic:cNvPicPr>
                            <a:picLocks noChangeArrowheads="1" noChangeAspect="1"/>
                          </pic:cNvPicPr>
                        </pic:nvPicPr>
                        <pic:blipFill>
                          <a:blip r:embed="rId67"/>
                          <a:stretch>
                            <a:fillRect/>
                          </a:stretch>
                        </pic:blipFill>
                        <pic:spPr bwMode="auto">
                          <a:xfrm>
                            <a:off x="0" y="0"/>
                            <a:ext cx="5623560" cy="5632704"/>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Periods in the MSE and main differences between them.</w:t>
            </w:r>
          </w:p>
          <w:bookmarkEnd w:id="70"/>
        </w:tc>
      </w:tr>
    </w:tbl>
    <w:bookmarkStart w:id="75" w:name="observation-error-model"/>
    <w:p>
      <w:pPr>
        <w:pStyle w:val="Ttulo3"/>
      </w:pPr>
      <w:r>
        <w:t xml:space="preserve">Observation error model</w:t>
      </w:r>
    </w:p>
    <w:p>
      <w:pPr>
        <w:pStyle w:val="FirstParagraph"/>
      </w:pPr>
      <w:r>
        <w:t xml:space="preserve">Autocorrelation in CPUE residuals were introduced in the simulations based on a previous analysis of CPUE residuals in the stock assessment model (</w:t>
      </w:r>
      <w:hyperlink w:anchor="tbl-cpue-rho">
        <w:r>
          <w:rPr>
            <w:rStyle w:val="Hipervnculo"/>
          </w:rPr>
          <w:t xml:space="preserve">Table 2</w:t>
        </w:r>
      </w:hyperlink>
      <w:r>
        <w:t xml:space="preserve">). This observation error was introduced both in the historical and projection period for all the Reference OMs.</w:t>
      </w:r>
    </w:p>
    <w:tbl>
      <w:tblPr>
        <w:tblStyle w:val="Table"/>
        <w:tblW w:type="pct" w:w="5000"/>
        <w:tblLayout w:type="fixed"/>
        <w:tblLook w:firstRow="0" w:lastRow="0" w:firstColumn="0" w:lastColumn="0" w:noHBand="0" w:noVBand="0" w:val="0000"/>
      </w:tblPr>
      <w:tblGrid>
        <w:gridCol w:w="7920"/>
      </w:tblGrid>
      <w:tr>
        <w:tc>
          <w:tcPr/>
          <w:bookmarkStart w:id="74" w:name="tbl-cpue-rho"/>
          <w:p>
            <w:pPr>
              <w:jc w:val="center"/>
            </w:pPr>
            <w:pPr>
              <w:jc w:val="left"/>
              <w:spacing w:before="200"/>
              <w:pStyle w:val="ImageCaption"/>
            </w:pPr>
            <w:r>
              <w:t xml:space="preserve">Table 2: Evaluation of temporal autocorrelation in CPUE residuals for lag 1.</w:t>
            </w:r>
            <w:r>
              <w:t xml:space="preserve"> </w:t>
            </w:r>
            <m:oMath>
              <m:r>
                <m:t>ρ</m:t>
              </m:r>
            </m:oMath>
            <w:r>
              <w:t xml:space="preserve"> </w:t>
            </w:r>
            <w:r>
              <w:t xml:space="preserve">and</w:t>
            </w:r>
            <w:r>
              <w:t xml:space="preserve"> </w:t>
            </w:r>
            <m:oMath>
              <m:r>
                <m:t>σ</m:t>
              </m:r>
            </m:oMath>
            <w:r>
              <w:t xml:space="preserve"> </w:t>
            </w:r>
            <w:r>
              <w:t xml:space="preserve">represent the correlation parameter and the standard deviation of residuals, respectively. ACF is the autocorrelation function. The only fleet that assumed a</w:t>
            </w:r>
            <w:r>
              <w:t xml:space="preserve"> </w:t>
            </w:r>
            <m:oMath>
              <m:r>
                <m:t>ρ</m:t>
              </m:r>
              <m:r>
                <m:rPr>
                  <m:sty m:val="p"/>
                </m:rPr>
                <m:t>=</m:t>
              </m:r>
              <m:r>
                <m:t>0</m:t>
              </m:r>
            </m:oMath>
            <w:r>
              <w:t xml:space="preserve"> </w:t>
            </w:r>
            <w:r>
              <w:t xml:space="preserve">in the MSE was</w:t>
            </w:r>
            <w:r>
              <w:t xml:space="preserve"> </w:t>
            </w:r>
            <m:oMath>
              <m:sSub>
                <m:e>
                  <m:r>
                    <m:t>1</m:t>
                  </m:r>
                </m:e>
                <m:sub>
                  <m:r>
                    <m:t>B</m:t>
                  </m:r>
                </m:sub>
              </m:sSub>
              <m:r>
                <m:t>B</m:t>
              </m:r>
            </m:oMath>
            <w:r>
              <w:t xml:space="preserve">.</w:t>
            </w:r>
          </w:p>
          <w:p>
            <w:pPr>
              <w:jc w:val="center"/>
            </w:pPr>
            <w:r>
              <w:drawing>
                <wp:inline>
                  <wp:extent cx="5943600" cy="2963789"/>
                  <wp:effectExtent b="0" l="0" r="0" t="0"/>
                  <wp:docPr descr="" title="" id="72" name="Picture"/>
                  <a:graphic>
                    <a:graphicData uri="http://schemas.openxmlformats.org/drawingml/2006/picture">
                      <pic:pic>
                        <pic:nvPicPr>
                          <pic:cNvPr descr="tables_img/my_tmp_tab2.png" id="73" name="Picture"/>
                          <pic:cNvPicPr>
                            <a:picLocks noChangeArrowheads="1" noChangeAspect="1"/>
                          </pic:cNvPicPr>
                        </pic:nvPicPr>
                        <pic:blipFill>
                          <a:blip r:embed="rId71"/>
                          <a:stretch>
                            <a:fillRect/>
                          </a:stretch>
                        </pic:blipFill>
                        <pic:spPr bwMode="auto">
                          <a:xfrm>
                            <a:off x="0" y="0"/>
                            <a:ext cx="5943600" cy="2963789"/>
                          </a:xfrm>
                          <a:prstGeom prst="rect">
                            <a:avLst/>
                          </a:prstGeom>
                          <a:noFill/>
                          <a:ln w="9525">
                            <a:noFill/>
                            <a:headEnd/>
                            <a:tailEnd/>
                          </a:ln>
                        </pic:spPr>
                      </pic:pic>
                    </a:graphicData>
                  </a:graphic>
                </wp:inline>
              </w:drawing>
            </w:r>
          </w:p>
          <w:bookmarkEnd w:id="74"/>
        </w:tc>
      </w:tr>
    </w:tbl>
    <w:bookmarkEnd w:id="75"/>
    <w:bookmarkEnd w:id="76"/>
    <w:bookmarkEnd w:id="77"/>
    <w:bookmarkStart w:id="103" w:name="candidate-management-procedures"/>
    <w:p>
      <w:pPr>
        <w:pStyle w:val="Ttulo1"/>
      </w:pPr>
      <w:r>
        <w:t xml:space="preserve">Candidate Management Procedures</w:t>
      </w:r>
    </w:p>
    <w:p>
      <w:pPr>
        <w:pStyle w:val="FirstParagraph"/>
      </w:pPr>
      <w:r>
        <w:t xml:space="preserve">The management advice is given every three years (</w:t>
      </w:r>
      <w:r>
        <w:rPr>
          <w:i/>
          <w:iCs/>
        </w:rPr>
        <w:t xml:space="preserve">management period</w:t>
      </w:r>
      <w:r>
        <w:t xml:space="preserve">) and the total allowable catch (TAC) is derived from the candidate MP. The candidate MP was run in the last year of each management period, including information up to the previous year. The TAC derived from the MP was set for the next management period (</w:t>
      </w:r>
      <w:hyperlink w:anchor="fig-timeline">
        <w:r>
          <w:rPr>
            <w:rStyle w:val="Hipervnculo"/>
          </w:rPr>
          <w:t xml:space="preserve">Figure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1" w:name="fig-timeline"/>
          <w:p>
            <w:pPr>
              <w:pStyle w:val="Compact"/>
              <w:jc w:val="center"/>
            </w:pPr>
            <w:r>
              <w:drawing>
                <wp:inline>
                  <wp:extent cx="5943600" cy="2560262"/>
                  <wp:effectExtent b="0" l="0" r="0" t="0"/>
                  <wp:docPr descr="" title="" id="79" name="Picture"/>
                  <a:graphic>
                    <a:graphicData uri="http://schemas.openxmlformats.org/drawingml/2006/picture">
                      <pic:pic>
                        <pic:nvPicPr>
                          <pic:cNvPr descr="../figures/mp_timeline.png" id="80" name="Picture"/>
                          <pic:cNvPicPr>
                            <a:picLocks noChangeArrowheads="1" noChangeAspect="1"/>
                          </pic:cNvPicPr>
                        </pic:nvPicPr>
                        <pic:blipFill>
                          <a:blip r:embed="rId78"/>
                          <a:stretch>
                            <a:fillRect/>
                          </a:stretch>
                        </pic:blipFill>
                        <pic:spPr bwMode="auto">
                          <a:xfrm>
                            <a:off x="0" y="0"/>
                            <a:ext cx="5943600" cy="2560262"/>
                          </a:xfrm>
                          <a:prstGeom prst="rect">
                            <a:avLst/>
                          </a:prstGeom>
                          <a:noFill/>
                          <a:ln w="9525">
                            <a:noFill/>
                            <a:headEnd/>
                            <a:tailEnd/>
                          </a:ln>
                        </pic:spPr>
                      </pic:pic>
                    </a:graphicData>
                  </a:graphic>
                </wp:inline>
              </w:drawing>
            </w:r>
          </w:p>
          <w:p>
            <w:pPr>
              <w:jc w:val="center"/>
            </w:pPr>
            <w:pPr>
              <w:jc w:val="left"/>
              <w:spacing w:before="200"/>
              <w:pStyle w:val="ImageCaption"/>
            </w:pPr>
            <w:r>
              <w:t xml:space="preserve">Figure 7: Representation of the TAC calculation for the next management period.</w:t>
            </w:r>
          </w:p>
          <w:bookmarkEnd w:id="81"/>
        </w:tc>
      </w:tr>
    </w:tbl>
    <w:bookmarkStart w:id="86" w:name="sec-mp-pcc"/>
    <w:p>
      <w:pPr>
        <w:pStyle w:val="Ttulo2"/>
      </w:pPr>
      <w:r>
        <w:t xml:space="preserve">Pseudo-constant catch</w:t>
      </w:r>
    </w:p>
    <w:p>
      <w:pPr>
        <w:pStyle w:val="FirstParagraph"/>
      </w:pPr>
      <w:r>
        <w:t xml:space="preserve">The total allowable catch (TAC) for the next management period (</w:t>
      </w:r>
      <m:oMath>
        <m:r>
          <m:t>t</m:t>
        </m:r>
        <m:r>
          <m:rPr>
            <m:sty m:val="p"/>
          </m:rPr>
          <m:t>+</m:t>
        </m:r>
        <m:r>
          <m:t>1</m:t>
        </m:r>
      </m:oMath>
      <w:r>
        <w:t xml:space="preserve">) is assumed constant, unless a reference value (</w:t>
      </w:r>
      <m:oMath>
        <m:sSub>
          <m:e>
            <m:r>
              <m:t>I</m:t>
            </m:r>
          </m:e>
          <m:sub>
            <m:r>
              <m:t>G</m:t>
            </m:r>
          </m:sub>
        </m:sSub>
      </m:oMath>
      <w:r>
        <w:t xml:space="preserve">) derived from a group of indices of abundance in the last two years falls below a reference value</w:t>
      </w:r>
      <w:r>
        <w:t xml:space="preserve"> </w:t>
      </w:r>
      <m:oMath>
        <m:sSub>
          <m:e>
            <m:r>
              <m:t>I</m:t>
            </m:r>
          </m:e>
          <m:sub>
            <m:r>
              <m:t>r</m:t>
            </m:r>
            <m:r>
              <m:t>e</m:t>
            </m:r>
            <m:r>
              <m:t>f</m:t>
            </m:r>
          </m:sub>
        </m:sSub>
        <m:r>
          <m:rPr>
            <m:sty m:val="p"/>
          </m:rPr>
          <m:t>=</m:t>
        </m:r>
        <m:r>
          <m:t>0.91</m:t>
        </m:r>
      </m:oMath>
      <w:r>
        <w:t xml:space="preserve"> </w:t>
      </w:r>
      <w:r>
        <w:t xml:space="preserve">(value observed in 2010, when</w:t>
      </w:r>
      <w:r>
        <w:t xml:space="preserve"> </w:t>
      </w:r>
      <m:oMath>
        <m:r>
          <m:t>S</m:t>
        </m:r>
        <m:r>
          <m:t>S</m:t>
        </m:r>
        <m:r>
          <m:t>B</m:t>
        </m:r>
        <m:r>
          <m:rPr>
            <m:sty m:val="p"/>
          </m:rPr>
          <m:t>&gt;</m:t>
        </m:r>
        <m:r>
          <m:t>S</m:t>
        </m:r>
        <m:r>
          <m:t>S</m:t>
        </m:r>
        <m:sSub>
          <m:e>
            <m:r>
              <m:t>B</m:t>
            </m:r>
          </m:e>
          <m:sub>
            <m:r>
              <m:t>m</m:t>
            </m:r>
            <m:r>
              <m:t>s</m:t>
            </m:r>
            <m:r>
              <m:t>y</m:t>
            </m:r>
          </m:sub>
        </m:sSub>
      </m:oMath>
      <w:r>
        <w:t xml:space="preserve">):</w:t>
      </w:r>
    </w:p>
    <w:p>
      <w:pPr>
        <w:pStyle w:val="Textoindependiente"/>
      </w:pPr>
      <m:oMathPara>
        <m:oMathParaPr>
          <m:jc m:val="center"/>
        </m:oMathParaPr>
        <m:oMath>
          <m:r>
            <m:t>T</m:t>
          </m:r>
          <m:r>
            <m:t>A</m:t>
          </m:r>
          <m:sSub>
            <m:e>
              <m:r>
                <m:t>C</m:t>
              </m:r>
            </m:e>
            <m:sub>
              <m:r>
                <m:t>t</m:t>
              </m:r>
              <m:r>
                <m:rPr>
                  <m:sty m:val="p"/>
                </m:rPr>
                <m:t>+</m:t>
              </m:r>
              <m:r>
                <m:t>1</m:t>
              </m:r>
            </m:sub>
          </m:sSub>
          <m:r>
            <m:rPr>
              <m:sty m:val="p"/>
            </m:rPr>
            <m:t>=</m:t>
          </m:r>
          <m:d>
            <m:dPr>
              <m:begChr m:val="{"/>
              <m:sepChr m:val=""/>
              <m:endChr m:val=""/>
              <m:grow/>
            </m:dPr>
            <m:e>
              <m:m>
                <m:mPr>
                  <m:baseJc m:val="center"/>
                  <m:plcHide m:val="on"/>
                  <m:mcs>
                    <m:mc>
                      <m:mcPr>
                        <m:mcJc m:val="left"/>
                        <m:count m:val="1"/>
                      </m:mcPr>
                    </m:mc>
                    <m:mc>
                      <m:mcPr>
                        <m:mcJc m:val="left"/>
                        <m:count m:val="1"/>
                      </m:mcPr>
                    </m:mc>
                  </m:mcs>
                </m:mPr>
                <m:mr>
                  <m:e>
                    <m:r>
                      <m:t>T</m:t>
                    </m:r>
                    <m:r>
                      <m:t>A</m:t>
                    </m:r>
                    <m:sSub>
                      <m:e>
                        <m:r>
                          <m:t>C</m:t>
                        </m:r>
                      </m:e>
                      <m:sub>
                        <m:r>
                          <m:t>c</m:t>
                        </m:r>
                        <m:r>
                          <m:t>t</m:t>
                        </m:r>
                      </m:sub>
                    </m:sSub>
                    <m:r>
                      <m:rPr>
                        <m:sty m:val="p"/>
                      </m:rPr>
                      <m:t>,</m:t>
                    </m:r>
                  </m:e>
                  <m:e>
                    <m:r>
                      <m:rPr>
                        <m:nor/>
                        <m:sty m:val="p"/>
                      </m:rPr>
                      <m:t>if </m:t>
                    </m:r>
                    <m:sSub>
                      <m:e>
                        <m:r>
                          <m:t>I</m:t>
                        </m:r>
                      </m:e>
                      <m:sub>
                        <m:r>
                          <m:t>G</m:t>
                        </m:r>
                      </m:sub>
                    </m:sSub>
                    <m:r>
                      <m:rPr>
                        <m:sty m:val="p"/>
                      </m:rPr>
                      <m:t>≥</m:t>
                    </m:r>
                    <m:sSub>
                      <m:e>
                        <m:r>
                          <m:t>I</m:t>
                        </m:r>
                      </m:e>
                      <m:sub>
                        <m:r>
                          <m:t>r</m:t>
                        </m:r>
                        <m:r>
                          <m:t>e</m:t>
                        </m:r>
                        <m:r>
                          <m:t>f</m:t>
                        </m:r>
                      </m:sub>
                    </m:sSub>
                  </m:e>
                </m:mr>
                <m:mr>
                  <m:e>
                    <m:r>
                      <m:t>T</m:t>
                    </m:r>
                    <m:r>
                      <m:t>A</m:t>
                    </m:r>
                    <m:sSub>
                      <m:e>
                        <m:r>
                          <m:t>C</m:t>
                        </m:r>
                      </m:e>
                      <m:sub>
                        <m:r>
                          <m:t>c</m:t>
                        </m:r>
                        <m:r>
                          <m:t>t</m:t>
                        </m:r>
                      </m:sub>
                    </m:sSub>
                    <m:d>
                      <m:dPr>
                        <m:begChr m:val="("/>
                        <m:sepChr m:val=""/>
                        <m:endChr m:val=")"/>
                        <m:grow/>
                      </m:dPr>
                      <m:e>
                        <m:f>
                          <m:fPr>
                            <m:type m:val="bar"/>
                          </m:fPr>
                          <m:num>
                            <m:sSub>
                              <m:e>
                                <m:r>
                                  <m:t>I</m:t>
                                </m:r>
                              </m:e>
                              <m:sub>
                                <m:r>
                                  <m:t>G</m:t>
                                </m:r>
                              </m:sub>
                            </m:sSub>
                          </m:num>
                          <m:den>
                            <m:sSub>
                              <m:e>
                                <m:r>
                                  <m:t>I</m:t>
                                </m:r>
                              </m:e>
                              <m:sub>
                                <m:r>
                                  <m:t>r</m:t>
                                </m:r>
                                <m:r>
                                  <m:t>e</m:t>
                                </m:r>
                                <m:r>
                                  <m:t>f</m:t>
                                </m:r>
                              </m:sub>
                            </m:sSub>
                          </m:den>
                        </m:f>
                      </m:e>
                    </m:d>
                    <m:r>
                      <m:rPr>
                        <m:sty m:val="p"/>
                      </m:rPr>
                      <m:t>,</m:t>
                    </m:r>
                  </m:e>
                  <m:e>
                    <m:r>
                      <m:rPr>
                        <m:nor/>
                        <m:sty m:val="p"/>
                      </m:rPr>
                      <m:t>if </m:t>
                    </m:r>
                    <m:sSub>
                      <m:e>
                        <m:r>
                          <m:t>I</m:t>
                        </m:r>
                      </m:e>
                      <m:sub>
                        <m:r>
                          <m:t>G</m:t>
                        </m:r>
                      </m:sub>
                    </m:sSub>
                    <m:r>
                      <m:rPr>
                        <m:sty m:val="p"/>
                      </m:rPr>
                      <m:t>&lt;</m:t>
                    </m:r>
                    <m:sSub>
                      <m:e>
                        <m:r>
                          <m:t>I</m:t>
                        </m:r>
                      </m:e>
                      <m:sub>
                        <m:r>
                          <m:t>r</m:t>
                        </m:r>
                        <m:r>
                          <m:t>e</m:t>
                        </m:r>
                        <m:r>
                          <m:t>f</m:t>
                        </m:r>
                      </m:sub>
                    </m:sSub>
                  </m:e>
                </m:mr>
              </m:m>
            </m:e>
          </m:d>
        </m:oMath>
      </m:oMathPara>
    </w:p>
    <w:p>
      <w:pPr>
        <w:pStyle w:val="FirstParagraph"/>
      </w:pPr>
      <w:r>
        <w:t xml:space="preserve">where</w:t>
      </w:r>
      <w:r>
        <w:t xml:space="preserve"> </w:t>
      </w:r>
      <m:oMath>
        <m:r>
          <m:t>T</m:t>
        </m:r>
        <m:r>
          <m:t>A</m:t>
        </m:r>
        <m:sSub>
          <m:e>
            <m:r>
              <m:t>C</m:t>
            </m:r>
          </m:e>
          <m:sub>
            <m:r>
              <m:t>c</m:t>
            </m:r>
            <m:r>
              <m:t>t</m:t>
            </m:r>
          </m:sub>
        </m:sSub>
        <m:r>
          <m:rPr>
            <m:sty m:val="p"/>
          </m:rPr>
          <m:t>=</m:t>
        </m:r>
        <m:r>
          <m:t>42</m:t>
        </m:r>
        <m:r>
          <m:rPr>
            <m:sty m:val="p"/>
          </m:rPr>
          <m:t>,</m:t>
        </m:r>
        <m:r>
          <m:t>000</m:t>
        </m:r>
      </m:oMath>
      <w:r>
        <w:t xml:space="preserve"> </w:t>
      </w:r>
      <w:r>
        <w:t xml:space="preserve">tonnes (</w:t>
      </w:r>
      <w:hyperlink w:anchor="fig-pcc">
        <w:r>
          <w:rPr>
            <w:rStyle w:val="Hipervnculo"/>
          </w:rPr>
          <w:t xml:space="preserve">Figure 8</w:t>
        </w:r>
      </w:hyperlink>
      <w:r>
        <w:t xml:space="preserve">).</w:t>
      </w:r>
      <w:r>
        <w:t xml:space="preserve"> </w:t>
      </w:r>
      <m:oMath>
        <m:sSub>
          <m:e>
            <m:r>
              <m:t>I</m:t>
            </m:r>
          </m:e>
          <m:sub>
            <m:r>
              <m:t>G</m:t>
            </m:r>
          </m:sub>
        </m:sSub>
      </m:oMath>
      <w:r>
        <w:t xml:space="preserve"> </w:t>
      </w:r>
      <w:r>
        <w:t xml:space="preserve">was calculated as follows:</w:t>
      </w:r>
    </w:p>
    <w:p>
      <w:pPr>
        <w:pStyle w:val="Textoindependiente"/>
      </w:pPr>
      <m:oMathPara>
        <m:oMathParaPr>
          <m:jc m:val="center"/>
        </m:oMathParaPr>
        <m:oMath>
          <m:sSub>
            <m:e>
              <m:r>
                <m:t>I</m:t>
              </m:r>
            </m:e>
            <m:sub>
              <m:r>
                <m:t>G</m:t>
              </m:r>
            </m:sub>
          </m:sSub>
          <m:r>
            <m:rPr>
              <m:sty m:val="p"/>
            </m:rPr>
            <m:t>=</m:t>
          </m:r>
          <m:r>
            <m:t>e</m:t>
          </m:r>
          <m:r>
            <m:t>x</m:t>
          </m:r>
          <m:r>
            <m:t>p</m:t>
          </m:r>
          <m:d>
            <m:dPr>
              <m:begChr m:val="("/>
              <m:sepChr m:val=""/>
              <m:endChr m:val=")"/>
              <m:grow/>
            </m:dPr>
            <m:e>
              <m:f>
                <m:fPr>
                  <m:type m:val="bar"/>
                </m:fPr>
                <m:num>
                  <m:r>
                    <m:t>1</m:t>
                  </m:r>
                </m:num>
                <m:den>
                  <m:sSub>
                    <m:e>
                      <m:r>
                        <m:t>n</m:t>
                      </m:r>
                    </m:e>
                    <m:sub>
                      <m:r>
                        <m:t>i</m:t>
                      </m:r>
                    </m:sub>
                  </m:sSub>
                </m:den>
              </m:f>
              <m:nary>
                <m:naryPr>
                  <m:chr m:val="∑"/>
                  <m:limLoc m:val="undOvr"/>
                  <m:subHide m:val="off"/>
                  <m:supHide m:val="on"/>
                </m:naryPr>
                <m:sub>
                  <m:r>
                    <m:t>i</m:t>
                  </m:r>
                </m:sub>
                <m:sup>
                  <m:r>
                    <m:t>​</m:t>
                  </m:r>
                </m:sup>
                <m:e>
                  <m:r>
                    <m:t>l</m:t>
                  </m:r>
                </m:e>
              </m:nary>
              <m:r>
                <m:t>o</m:t>
              </m:r>
              <m:r>
                <m:t>g</m:t>
              </m:r>
              <m:d>
                <m:dPr>
                  <m:begChr m:val="("/>
                  <m:sepChr m:val=""/>
                  <m:endChr m:val=")"/>
                  <m:grow/>
                </m:dPr>
                <m:e>
                  <m:sSubSup>
                    <m:e>
                      <m:r>
                        <m:t>I</m:t>
                      </m:r>
                    </m:e>
                    <m:sub>
                      <m:r>
                        <m:t>i</m:t>
                      </m:r>
                    </m:sub>
                    <m:sup>
                      <m:r>
                        <m:rPr>
                          <m:sty m:val="p"/>
                        </m:rPr>
                        <m:t>*</m:t>
                      </m:r>
                    </m:sup>
                  </m:sSubSup>
                </m:e>
              </m:d>
            </m:e>
          </m:d>
        </m:oMath>
      </m:oMathPara>
    </w:p>
    <w:p>
      <w:pPr>
        <w:pStyle w:val="FirstParagraph"/>
      </w:pPr>
      <w:r>
        <w:t xml:space="preserve">where</w:t>
      </w:r>
      <w:r>
        <w:t xml:space="preserve"> </w:t>
      </w:r>
      <m:oMath>
        <m:sSub>
          <m:e>
            <m:r>
              <m:t>n</m:t>
            </m:r>
          </m:e>
          <m:sub>
            <m:r>
              <m:t>i</m:t>
            </m:r>
          </m:sub>
        </m:sSub>
      </m:oMath>
      <w:r>
        <w:t xml:space="preserve"> </w:t>
      </w:r>
      <w:r>
        <w:t xml:space="preserve">is the number of selected indices of abundance and</w:t>
      </w:r>
      <w:r>
        <w:t xml:space="preserve"> </w:t>
      </w:r>
      <m:oMath>
        <m:sSubSup>
          <m:e>
            <m:r>
              <m:t>I</m:t>
            </m:r>
          </m:e>
          <m:sub>
            <m:r>
              <m:t>i</m:t>
            </m:r>
          </m:sub>
          <m:sup>
            <m:r>
              <m:rPr>
                <m:sty m:val="p"/>
              </m:rPr>
              <m:t>*</m:t>
            </m:r>
          </m:sup>
        </m:sSubSup>
      </m:oMath>
      <w:r>
        <w:t xml:space="preserve"> </w:t>
      </w:r>
      <w:r>
        <w:t xml:space="preserve">was calculated for every selected index of abundance</w:t>
      </w:r>
      <w:r>
        <w:t xml:space="preserve"> </w:t>
      </w:r>
      <m:oMath>
        <m:sSub>
          <m:e>
            <m:r>
              <m:t>I</m:t>
            </m:r>
          </m:e>
          <m:sub>
            <m:r>
              <m:t>i</m:t>
            </m:r>
          </m:sub>
        </m:sSub>
      </m:oMath>
      <w:r>
        <w:t xml:space="preserve"> </w:t>
      </w:r>
      <w:r>
        <w:t xml:space="preserve">using information from the last two years (</w:t>
      </w:r>
      <m:oMath>
        <m:r>
          <m:t>y</m:t>
        </m:r>
        <m:r>
          <m:rPr>
            <m:sty m:val="p"/>
          </m:rPr>
          <m:t>−</m:t>
        </m:r>
        <m:r>
          <m:t>1</m:t>
        </m:r>
      </m:oMath>
      <w:r>
        <w:t xml:space="preserve"> </w:t>
      </w:r>
      <w:r>
        <w:t xml:space="preserve">and</w:t>
      </w:r>
      <w:r>
        <w:t xml:space="preserve"> </w:t>
      </w:r>
      <m:oMath>
        <m:r>
          <m:t>y</m:t>
        </m:r>
        <m:r>
          <m:rPr>
            <m:sty m:val="p"/>
          </m:rPr>
          <m:t>−</m:t>
        </m:r>
        <m:r>
          <m:t>2</m:t>
        </m:r>
      </m:oMath>
      <w:r>
        <w:t xml:space="preserve">):</w:t>
      </w:r>
    </w:p>
    <w:p>
      <w:pPr>
        <w:pStyle w:val="Textoindependiente"/>
      </w:pPr>
      <m:oMathPara>
        <m:oMathParaPr>
          <m:jc m:val="center"/>
        </m:oMathParaPr>
        <m:oMath>
          <m:sSubSup>
            <m:e>
              <m:r>
                <m:t>I</m:t>
              </m:r>
            </m:e>
            <m:sub>
              <m:r>
                <m:t>i</m:t>
              </m:r>
            </m:sub>
            <m:sup>
              <m:r>
                <m:rPr>
                  <m:sty m:val="p"/>
                </m:rPr>
                <m:t>*</m:t>
              </m:r>
            </m:sup>
          </m:sSubSup>
          <m:r>
            <m:rPr>
              <m:sty m:val="p"/>
            </m:rPr>
            <m:t>=</m:t>
          </m:r>
          <m:f>
            <m:fPr>
              <m:type m:val="bar"/>
            </m:fPr>
            <m:num>
              <m:sSub>
                <m:e>
                  <m:r>
                    <m:t>I</m:t>
                  </m:r>
                </m:e>
                <m:sub>
                  <m:r>
                    <m:t>i</m:t>
                  </m:r>
                  <m:r>
                    <m:rPr>
                      <m:sty m:val="p"/>
                    </m:rPr>
                    <m:t>,</m:t>
                  </m:r>
                  <m:r>
                    <m:t>y</m:t>
                  </m:r>
                  <m:r>
                    <m:rPr>
                      <m:sty m:val="p"/>
                    </m:rPr>
                    <m:t>−</m:t>
                  </m:r>
                  <m:r>
                    <m:t>1</m:t>
                  </m:r>
                </m:sub>
              </m:sSub>
              <m:r>
                <m:rPr>
                  <m:sty m:val="p"/>
                </m:rPr>
                <m:t>+</m:t>
              </m:r>
              <m:sSub>
                <m:e>
                  <m:r>
                    <m:t>I</m:t>
                  </m:r>
                </m:e>
                <m:sub>
                  <m:r>
                    <m:t>i</m:t>
                  </m:r>
                  <m:r>
                    <m:rPr>
                      <m:sty m:val="p"/>
                    </m:rPr>
                    <m:t>,</m:t>
                  </m:r>
                  <m:r>
                    <m:t>y</m:t>
                  </m:r>
                  <m:r>
                    <m:rPr>
                      <m:sty m:val="p"/>
                    </m:rPr>
                    <m:t>−</m:t>
                  </m:r>
                  <m:r>
                    <m:t>2</m:t>
                  </m:r>
                </m:sub>
              </m:sSub>
            </m:num>
            <m:den>
              <m:r>
                <m:t>2</m:t>
              </m:r>
            </m:den>
          </m:f>
        </m:oMath>
      </m:oMathPara>
    </w:p>
    <w:p>
      <w:pPr>
        <w:pStyle w:val="FirstParagraph"/>
      </w:pPr>
      <w:r>
        <w:t xml:space="preserve">For this case, the selected indices of abundance</w:t>
      </w:r>
      <w:r>
        <w:t xml:space="preserve"> </w:t>
      </w:r>
      <m:oMath>
        <m:sSub>
          <m:e>
            <m:r>
              <m:t>I</m:t>
            </m:r>
          </m:e>
          <m:sub>
            <m:r>
              <m:t>i</m:t>
            </m:r>
          </m:sub>
        </m:sSub>
      </m:oMath>
      <w:r>
        <w:t xml:space="preserve"> </w:t>
      </w:r>
      <w:r>
        <w:t xml:space="preserve">were (see</w:t>
      </w:r>
      <w:r>
        <w:t xml:space="preserve"> </w:t>
      </w:r>
      <w:hyperlink w:anchor="tbl-fleet">
        <w:r>
          <w:rPr>
            <w:rStyle w:val="Hipervnculo"/>
          </w:rPr>
          <w:t xml:space="preserve">Table 1</w:t>
        </w:r>
      </w:hyperlink>
      <w:r>
        <w:t xml:space="preserve"> </w:t>
      </w:r>
      <w:r>
        <w:t xml:space="preserve">for fleet description):</w:t>
      </w:r>
    </w:p>
    <w:p>
      <w:pPr>
        <w:pStyle w:val="Compact"/>
        <w:numPr>
          <w:ilvl w:val="0"/>
          <w:numId w:val="1004"/>
        </w:numPr>
      </w:pPr>
      <m:oMath>
        <m:r>
          <m:t>1</m:t>
        </m:r>
        <m:r>
          <m:rPr>
            <m:sty m:val="p"/>
          </m:rPr>
          <m:t>_</m:t>
        </m:r>
        <m:r>
          <m:t>B</m:t>
        </m:r>
        <m:r>
          <m:t>B</m:t>
        </m:r>
      </m:oMath>
    </w:p>
    <w:p>
      <w:pPr>
        <w:pStyle w:val="Compact"/>
        <w:numPr>
          <w:ilvl w:val="0"/>
          <w:numId w:val="1004"/>
        </w:numPr>
      </w:pPr>
      <m:oMath>
        <m:r>
          <m:t>6</m:t>
        </m:r>
        <m:r>
          <m:rPr>
            <m:sty m:val="p"/>
          </m:rPr>
          <m:t>_</m:t>
        </m:r>
        <m:r>
          <m:t>J</m:t>
        </m:r>
        <m:r>
          <m:t>P</m:t>
        </m:r>
        <m:r>
          <m:t>L</m:t>
        </m:r>
        <m:r>
          <m:t>L</m:t>
        </m:r>
        <m:r>
          <m:rPr>
            <m:sty m:val="p"/>
          </m:rPr>
          <m:t>_</m:t>
        </m:r>
        <m:r>
          <m:t>S</m:t>
        </m:r>
      </m:oMath>
    </w:p>
    <w:p>
      <w:pPr>
        <w:pStyle w:val="Compact"/>
        <w:numPr>
          <w:ilvl w:val="0"/>
          <w:numId w:val="1004"/>
        </w:numPr>
      </w:pPr>
      <m:oMath>
        <m:r>
          <m:t>7</m:t>
        </m:r>
        <m:r>
          <m:rPr>
            <m:sty m:val="p"/>
          </m:rPr>
          <m:t>_</m:t>
        </m:r>
        <m:r>
          <m:t>T</m:t>
        </m:r>
        <m:r>
          <m:t>A</m:t>
        </m:r>
        <m:r>
          <m:t>I</m:t>
        </m:r>
        <m:r>
          <m:t>L</m:t>
        </m:r>
        <m:r>
          <m:t>L</m:t>
        </m:r>
        <m:r>
          <m:rPr>
            <m:sty m:val="p"/>
          </m:rPr>
          <m:t>_</m:t>
        </m:r>
        <m:r>
          <m:t>N</m:t>
        </m:r>
      </m:oMath>
    </w:p>
    <w:p>
      <w:pPr>
        <w:pStyle w:val="Compact"/>
        <w:numPr>
          <w:ilvl w:val="0"/>
          <w:numId w:val="1004"/>
        </w:numPr>
      </w:pPr>
      <m:oMath>
        <m:r>
          <m:t>8</m:t>
        </m:r>
        <m:r>
          <m:rPr>
            <m:sty m:val="p"/>
          </m:rPr>
          <m:t>_</m:t>
        </m:r>
        <m:r>
          <m:t>T</m:t>
        </m:r>
        <m:r>
          <m:t>A</m:t>
        </m:r>
        <m:r>
          <m:t>I</m:t>
        </m:r>
        <m:r>
          <m:t>L</m:t>
        </m:r>
        <m:r>
          <m:t>L</m:t>
        </m:r>
        <m:r>
          <m:rPr>
            <m:sty m:val="p"/>
          </m:rPr>
          <m:t>_</m:t>
        </m:r>
        <m:r>
          <m:t>S</m:t>
        </m:r>
      </m:oMath>
    </w:p>
    <w:p>
      <w:pPr>
        <w:pStyle w:val="Compact"/>
        <w:numPr>
          <w:ilvl w:val="0"/>
          <w:numId w:val="1004"/>
        </w:numPr>
      </w:pPr>
      <m:oMath>
        <m:r>
          <m:t>9</m:t>
        </m:r>
        <m:r>
          <m:rPr>
            <m:sty m:val="p"/>
          </m:rPr>
          <m:t>_</m:t>
        </m:r>
        <m:r>
          <m:t>U</m:t>
        </m:r>
        <m:r>
          <m:t>S</m:t>
        </m:r>
        <m:r>
          <m:t>L</m:t>
        </m:r>
        <m:r>
          <m:t>L</m:t>
        </m:r>
        <m:r>
          <m:rPr>
            <m:sty m:val="p"/>
          </m:rPr>
          <m:t>_</m:t>
        </m:r>
        <m:r>
          <m:t>N</m:t>
        </m:r>
      </m:oMath>
    </w:p>
    <w:p>
      <w:pPr>
        <w:pStyle w:val="Compact"/>
        <w:numPr>
          <w:ilvl w:val="0"/>
          <w:numId w:val="1004"/>
        </w:numPr>
      </w:pPr>
      <m:oMath>
        <m:r>
          <m:t>10</m:t>
        </m:r>
        <m:r>
          <m:rPr>
            <m:sty m:val="p"/>
          </m:rPr>
          <m:t>_</m:t>
        </m:r>
        <m:r>
          <m:t>U</m:t>
        </m:r>
        <m:r>
          <m:t>S</m:t>
        </m:r>
        <m:r>
          <m:t>L</m:t>
        </m:r>
        <m:r>
          <m:t>L</m:t>
        </m:r>
        <m:r>
          <m:rPr>
            <m:sty m:val="p"/>
          </m:rPr>
          <m:t>_</m:t>
        </m:r>
        <m:r>
          <m:t>S</m:t>
        </m:r>
      </m:oMath>
    </w:p>
    <w:p>
      <w:pPr>
        <w:pStyle w:val="FirstParagraph"/>
      </w:pPr>
      <w:r>
        <w:t xml:space="preserve">In addition, the TAC variation between consecutive management periods</w:t>
      </w:r>
      <w:r>
        <w:t xml:space="preserve"> </w:t>
      </w:r>
      <m:oMath>
        <m:r>
          <m:t>T</m:t>
        </m:r>
        <m:r>
          <m:t>A</m:t>
        </m:r>
        <m:sSub>
          <m:e>
            <m:r>
              <m:t>C</m:t>
            </m:r>
          </m:e>
          <m:sub>
            <m:r>
              <m:t>t</m:t>
            </m:r>
            <m:r>
              <m:rPr>
                <m:sty m:val="p"/>
              </m:rPr>
              <m:t>+</m:t>
            </m:r>
            <m:r>
              <m:t>1</m:t>
            </m:r>
          </m:sub>
        </m:sSub>
      </m:oMath>
      <w:r>
        <w:t xml:space="preserve"> </w:t>
      </w:r>
      <w:r>
        <w:t xml:space="preserve">and</w:t>
      </w:r>
      <w:r>
        <w:t xml:space="preserve"> </w:t>
      </w:r>
      <m:oMath>
        <m:r>
          <m:t>T</m:t>
        </m:r>
        <m:r>
          <m:t>A</m:t>
        </m:r>
        <m:sSub>
          <m:e>
            <m:r>
              <m:t>C</m:t>
            </m:r>
          </m:e>
          <m:sub>
            <m:r>
              <m:t>t</m:t>
            </m:r>
          </m:sub>
        </m:sSub>
      </m:oMath>
      <w:r>
        <w:t xml:space="preserve"> </w:t>
      </w:r>
      <w:r>
        <w:t xml:space="preserve">could not exceed 15%.</w:t>
      </w:r>
    </w:p>
    <w:tbl>
      <w:tblPr>
        <w:tblStyle w:val="Table"/>
        <w:tblW w:type="pct" w:w="5000"/>
        <w:tblLayout w:type="fixed"/>
        <w:tblLook w:firstRow="0" w:lastRow="0" w:firstColumn="0" w:lastColumn="0" w:noHBand="0" w:noVBand="0" w:val="0000"/>
      </w:tblPr>
      <w:tblGrid>
        <w:gridCol w:w="7920"/>
      </w:tblGrid>
      <w:tr>
        <w:tc>
          <w:tcPr/>
          <w:bookmarkStart w:id="85" w:name="fig-pcc"/>
          <w:p>
            <w:pPr>
              <w:pStyle w:val="Compact"/>
              <w:jc w:val="center"/>
            </w:pPr>
            <w:r>
              <w:drawing>
                <wp:inline>
                  <wp:extent cx="2886935" cy="2526068"/>
                  <wp:effectExtent b="0" l="0" r="0" t="0"/>
                  <wp:docPr descr="" title="" id="83" name="Picture"/>
                  <a:graphic>
                    <a:graphicData uri="http://schemas.openxmlformats.org/drawingml/2006/picture">
                      <pic:pic>
                        <pic:nvPicPr>
                          <pic:cNvPr descr="../figures/pccatch.png" id="84" name="Picture"/>
                          <pic:cNvPicPr>
                            <a:picLocks noChangeArrowheads="1" noChangeAspect="1"/>
                          </pic:cNvPicPr>
                        </pic:nvPicPr>
                        <pic:blipFill>
                          <a:blip r:embed="rId82"/>
                          <a:stretch>
                            <a:fillRect/>
                          </a:stretch>
                        </pic:blipFill>
                        <pic:spPr bwMode="auto">
                          <a:xfrm>
                            <a:off x="0" y="0"/>
                            <a:ext cx="2886935" cy="2526068"/>
                          </a:xfrm>
                          <a:prstGeom prst="rect">
                            <a:avLst/>
                          </a:prstGeom>
                          <a:noFill/>
                          <a:ln w="9525">
                            <a:noFill/>
                            <a:headEnd/>
                            <a:tailEnd/>
                          </a:ln>
                        </pic:spPr>
                      </pic:pic>
                    </a:graphicData>
                  </a:graphic>
                </wp:inline>
              </w:drawing>
            </w:r>
          </w:p>
          <w:p>
            <w:pPr>
              <w:jc w:val="center"/>
            </w:pPr>
            <w:pPr>
              <w:jc w:val="left"/>
              <w:spacing w:before="200"/>
              <w:pStyle w:val="ImageCaption"/>
            </w:pPr>
            <w:r>
              <w:t xml:space="preserve">Figure 8: Derivation of the TAC for the next management period (</w:t>
            </w:r>
            <m:oMath>
              <m:r>
                <m:t>T</m:t>
              </m:r>
              <m:r>
                <m:t>A</m:t>
              </m:r>
              <m:sSub>
                <m:e>
                  <m:r>
                    <m:t>C</m:t>
                  </m:r>
                </m:e>
                <m:sub>
                  <m:r>
                    <m:t>t</m:t>
                  </m:r>
                  <m:r>
                    <m:rPr>
                      <m:sty m:val="p"/>
                    </m:rPr>
                    <m:t>+</m:t>
                  </m:r>
                  <m:r>
                    <m:t>1</m:t>
                  </m:r>
                </m:sub>
              </m:sSub>
            </m:oMath>
            <w:r>
              <w:t xml:space="preserve">) in the pseudoconstant catch MP.</w:t>
            </w:r>
          </w:p>
          <w:bookmarkEnd w:id="85"/>
        </w:tc>
      </w:tr>
    </w:tbl>
    <w:bookmarkEnd w:id="86"/>
    <w:bookmarkStart w:id="92" w:name="sec-mp-emp"/>
    <w:p>
      <w:pPr>
        <w:pStyle w:val="Ttulo2"/>
      </w:pPr>
      <w:r>
        <w:t xml:space="preserve">Index-based</w:t>
      </w:r>
    </w:p>
    <w:p>
      <w:pPr>
        <w:pStyle w:val="FirstParagraph"/>
      </w:pPr>
      <w:r>
        <w:t xml:space="preserve">The total allowable catch (TAC) for the next management period (</w:t>
      </w:r>
      <m:oMath>
        <m:r>
          <m:t>t</m:t>
        </m:r>
        <m:r>
          <m:rPr>
            <m:sty m:val="p"/>
          </m:rPr>
          <m:t>+</m:t>
        </m:r>
        <m:r>
          <m:t>1</m:t>
        </m:r>
      </m:oMath>
      <w:r>
        <w:t xml:space="preserve">) is calculated from the TAC in the current management period</w:t>
      </w:r>
      <w:r>
        <w:t xml:space="preserve"> </w:t>
      </w:r>
      <m:oMath>
        <m:r>
          <m:t>t</m:t>
        </m:r>
      </m:oMath>
      <w:r>
        <w:t xml:space="preserve"> </w:t>
      </w:r>
      <w:r>
        <w:t xml:space="preserve">and a factor</w:t>
      </w:r>
      <w:r>
        <w:t xml:space="preserve"> </w:t>
      </w:r>
      <m:oMath>
        <m:sSub>
          <m:e>
            <m:r>
              <m:t>J</m:t>
            </m:r>
          </m:e>
          <m:sub>
            <m:r>
              <m:t>r</m:t>
            </m:r>
            <m:r>
              <m:t>a</m:t>
            </m:r>
            <m:r>
              <m:t>t</m:t>
            </m:r>
          </m:sub>
        </m:sSub>
      </m:oMath>
      <w:r>
        <w:t xml:space="preserve"> </w:t>
      </w:r>
      <w:r>
        <w:t xml:space="preserve">derived from a selected indices (see</w:t>
      </w:r>
      <w:r>
        <w:t xml:space="preserve"> </w:t>
      </w:r>
      <w:hyperlink w:anchor="sec-mp-pcc">
        <w:r>
          <w:rPr>
            <w:rStyle w:val="Hipervnculo"/>
          </w:rPr>
          <w:t xml:space="preserve">Section 4.1</w:t>
        </w:r>
      </w:hyperlink>
      <w:r>
        <w:t xml:space="preserve">). First, we calculated a</w:t>
      </w:r>
      <w:r>
        <w:t xml:space="preserve"> </w:t>
      </w:r>
      <w:r>
        <w:rPr>
          <w:i/>
          <w:iCs/>
        </w:rPr>
        <w:t xml:space="preserve">combined</w:t>
      </w:r>
      <w:r>
        <w:t xml:space="preserve"> </w:t>
      </w:r>
      <w:r>
        <w:t xml:space="preserve">index of abundance (</w:t>
      </w:r>
      <m:oMath>
        <m:sSub>
          <m:e>
            <m:r>
              <m:t>J</m:t>
            </m:r>
          </m:e>
          <m:sub>
            <m:r>
              <m:t>Y</m:t>
            </m:r>
          </m:sub>
        </m:sSub>
      </m:oMath>
      <w:r>
        <w:t xml:space="preserve">) for every year</w:t>
      </w:r>
      <w:r>
        <w:t xml:space="preserve"> </w:t>
      </w:r>
      <m:oMath>
        <m:r>
          <m:t>Y</m:t>
        </m:r>
      </m:oMath>
      <w:r>
        <w:t xml:space="preserve">, where</w:t>
      </w:r>
      <w:r>
        <w:t xml:space="preserve"> </w:t>
      </w:r>
      <m:oMath>
        <m:r>
          <m:t>Y</m:t>
        </m:r>
        <m:r>
          <m:rPr>
            <m:sty m:val="p"/>
          </m:rPr>
          <m:t>∈</m:t>
        </m:r>
        <m:r>
          <m:rPr>
            <m:sty m:val="p"/>
          </m:rPr>
          <m:t>{</m:t>
        </m:r>
        <m:r>
          <m:t>y</m:t>
        </m:r>
        <m:r>
          <m:rPr>
            <m:sty m:val="p"/>
          </m:rPr>
          <m:t>−</m:t>
        </m:r>
        <m:r>
          <m:t>1</m:t>
        </m:r>
        <m:r>
          <m:rPr>
            <m:sty m:val="p"/>
          </m:rPr>
          <m:t>,</m:t>
        </m:r>
        <m:r>
          <m:rPr>
            <m:sty m:val="p"/>
          </m:rPr>
          <m:t>.</m:t>
        </m:r>
        <m:r>
          <m:rPr>
            <m:sty m:val="p"/>
          </m:rPr>
          <m:t>.</m:t>
        </m:r>
        <m:r>
          <m:rPr>
            <m:sty m:val="p"/>
          </m:rPr>
          <m:t>.</m:t>
        </m:r>
        <m:r>
          <m:rPr>
            <m:sty m:val="p"/>
          </m:rPr>
          <m:t>,</m:t>
        </m:r>
        <m:r>
          <m:t>y</m:t>
        </m:r>
        <m:r>
          <m:rPr>
            <m:sty m:val="p"/>
          </m:rPr>
          <m:t>−</m:t>
        </m:r>
        <m:r>
          <m:t>6</m:t>
        </m:r>
        <m:r>
          <m:rPr>
            <m:sty m:val="p"/>
          </m:rPr>
          <m:t>}</m:t>
        </m:r>
      </m:oMath>
      <w:r>
        <w:t xml:space="preserve">:</w:t>
      </w:r>
    </w:p>
    <w:p>
      <w:pPr>
        <w:pStyle w:val="Textoindependiente"/>
      </w:pPr>
      <w:bookmarkStart w:id="87" w:name="eq-emp"/>
      <m:oMathPara>
        <m:oMathParaPr>
          <m:jc m:val="center"/>
        </m:oMathParaPr>
        <m:oMath>
          <m:sSub>
            <m:e>
              <m:r>
                <m:t>J</m:t>
              </m:r>
            </m:e>
            <m:sub>
              <m:r>
                <m:t>Y</m:t>
              </m:r>
            </m:sub>
          </m:sSub>
          <m:r>
            <m:rPr>
              <m:sty m:val="p"/>
            </m:rPr>
            <m:t>=</m:t>
          </m:r>
          <m:f>
            <m:fPr>
              <m:type m:val="bar"/>
            </m:fPr>
            <m:num>
              <m:nary>
                <m:naryPr>
                  <m:chr m:val="∑"/>
                  <m:limLoc m:val="undOvr"/>
                  <m:subHide m:val="off"/>
                  <m:supHide m:val="off"/>
                </m:naryPr>
                <m:sub>
                  <m:r>
                    <m:t>i</m:t>
                  </m:r>
                  <m:r>
                    <m:rPr>
                      <m:sty m:val="p"/>
                    </m:rPr>
                    <m:t>=</m:t>
                  </m:r>
                  <m:r>
                    <m:t>1</m:t>
                  </m:r>
                </m:sub>
                <m:sup>
                  <m:sSub>
                    <m:e>
                      <m:r>
                        <m:t>n</m:t>
                      </m:r>
                    </m:e>
                    <m:sub>
                      <m:r>
                        <m:t>i</m:t>
                      </m:r>
                    </m:sub>
                  </m:sSub>
                </m:sup>
                <m:e>
                  <m:sSub>
                    <m:e>
                      <m:r>
                        <m:t>I</m:t>
                      </m:r>
                    </m:e>
                    <m:sub>
                      <m:r>
                        <m:t>i</m:t>
                      </m:r>
                      <m:r>
                        <m:rPr>
                          <m:sty m:val="p"/>
                        </m:rPr>
                        <m:t>,</m:t>
                      </m:r>
                      <m:r>
                        <m:t>Y</m:t>
                      </m:r>
                    </m:sub>
                  </m:sSub>
                </m:e>
              </m:nary>
              <m:sSub>
                <m:e>
                  <m:r>
                    <m:t>w</m:t>
                  </m:r>
                </m:e>
                <m:sub>
                  <m:r>
                    <m:t>i</m:t>
                  </m:r>
                  <m:r>
                    <m:rPr>
                      <m:sty m:val="p"/>
                    </m:rPr>
                    <m:t>,</m:t>
                  </m:r>
                  <m:r>
                    <m:t>Y</m:t>
                  </m:r>
                </m:sub>
              </m:sSub>
            </m:num>
            <m:den>
              <m:nary>
                <m:naryPr>
                  <m:chr m:val="∑"/>
                  <m:limLoc m:val="undOvr"/>
                  <m:subHide m:val="off"/>
                  <m:supHide m:val="off"/>
                </m:naryPr>
                <m:sub>
                  <m:r>
                    <m:t>i</m:t>
                  </m:r>
                  <m:r>
                    <m:rPr>
                      <m:sty m:val="p"/>
                    </m:rPr>
                    <m:t>=</m:t>
                  </m:r>
                  <m:r>
                    <m:t>1</m:t>
                  </m:r>
                </m:sub>
                <m:sup>
                  <m:sSub>
                    <m:e>
                      <m:r>
                        <m:t>n</m:t>
                      </m:r>
                    </m:e>
                    <m:sub>
                      <m:r>
                        <m:t>i</m:t>
                      </m:r>
                    </m:sub>
                  </m:sSub>
                </m:sup>
                <m:e>
                  <m:sSub>
                    <m:e>
                      <m:r>
                        <m:t>w</m:t>
                      </m:r>
                    </m:e>
                    <m:sub>
                      <m:r>
                        <m:t>i</m:t>
                      </m:r>
                      <m:r>
                        <m:rPr>
                          <m:sty m:val="p"/>
                        </m:rPr>
                        <m:t>,</m:t>
                      </m:r>
                      <m:r>
                        <m:t>Y</m:t>
                      </m:r>
                    </m:sub>
                  </m:sSub>
                </m:e>
              </m:nary>
            </m:den>
          </m:f>
          <m:r>
            <m:t>  </m:t>
          </m:r>
          <m:d>
            <m:dPr>
              <m:begChr m:val="("/>
              <m:sepChr m:val=""/>
              <m:endChr m:val=")"/>
              <m:grow/>
            </m:dPr>
            <m:e>
              <m:r>
                <m:t>1</m:t>
              </m:r>
            </m:e>
          </m:d>
        </m:oMath>
      </m:oMathPara>
      <w:bookmarkEnd w:id="87"/>
    </w:p>
    <w:p>
      <w:pPr>
        <w:pStyle w:val="FirstParagraph"/>
      </w:pPr>
      <w:r>
        <w:t xml:space="preserve">where</w:t>
      </w:r>
      <w:r>
        <w:t xml:space="preserve"> </w:t>
      </w:r>
      <m:oMath>
        <m:sSub>
          <m:e>
            <m:r>
              <m:t>n</m:t>
            </m:r>
          </m:e>
          <m:sub>
            <m:r>
              <m:t>i</m:t>
            </m:r>
          </m:sub>
        </m:sSub>
      </m:oMath>
      <w:r>
        <w:t xml:space="preserve"> </w:t>
      </w:r>
      <w:r>
        <w:t xml:space="preserve">represents the number of selected indices,</w:t>
      </w:r>
      <w:r>
        <w:t xml:space="preserve"> </w:t>
      </w:r>
      <m:oMath>
        <m:sSub>
          <m:e>
            <m:r>
              <m:t>I</m:t>
            </m:r>
          </m:e>
          <m:sub>
            <m:r>
              <m:t>i</m:t>
            </m:r>
            <m:r>
              <m:rPr>
                <m:sty m:val="p"/>
              </m:rPr>
              <m:t>,</m:t>
            </m:r>
            <m:r>
              <m:t>Y</m:t>
            </m:r>
          </m:sub>
        </m:sSub>
      </m:oMath>
      <w:r>
        <w:t xml:space="preserve"> </w:t>
      </w:r>
      <w:r>
        <w:t xml:space="preserve">represents the value of index</w:t>
      </w:r>
      <w:r>
        <w:t xml:space="preserve"> </w:t>
      </w:r>
      <m:oMath>
        <m:r>
          <m:t>i</m:t>
        </m:r>
      </m:oMath>
      <w:r>
        <w:t xml:space="preserve"> </w:t>
      </w:r>
      <w:r>
        <w:t xml:space="preserve">in year</w:t>
      </w:r>
      <w:r>
        <w:t xml:space="preserve"> </w:t>
      </w:r>
      <m:oMath>
        <m:r>
          <m:t>Y</m:t>
        </m:r>
      </m:oMath>
      <w:r>
        <w:t xml:space="preserve">, and</w:t>
      </w:r>
      <w:r>
        <w:t xml:space="preserve"> </w:t>
      </w:r>
      <m:oMath>
        <m:sSub>
          <m:e>
            <m:r>
              <m:t>w</m:t>
            </m:r>
          </m:e>
          <m:sub>
            <m:r>
              <m:t>i</m:t>
            </m:r>
            <m:r>
              <m:rPr>
                <m:sty m:val="p"/>
              </m:rPr>
              <m:t>,</m:t>
            </m:r>
            <m:r>
              <m:t>Y</m:t>
            </m:r>
          </m:sub>
        </m:sSub>
      </m:oMath>
      <w:r>
        <w:t xml:space="preserve"> </w:t>
      </w:r>
      <w:r>
        <w:t xml:space="preserve">is the weighting factor.</w:t>
      </w:r>
      <w:r>
        <w:t xml:space="preserve"> </w:t>
      </w:r>
      <m:oMath>
        <m:sSub>
          <m:e>
            <m:r>
              <m:t>w</m:t>
            </m:r>
          </m:e>
          <m:sub>
            <m:r>
              <m:t>i</m:t>
            </m:r>
            <m:r>
              <m:rPr>
                <m:sty m:val="p"/>
              </m:rPr>
              <m:t>,</m:t>
            </m:r>
            <m:r>
              <m:t>Y</m:t>
            </m:r>
          </m:sub>
        </m:sSub>
      </m:oMath>
      <w:r>
        <w:t xml:space="preserve"> </w:t>
      </w:r>
      <w:r>
        <w:t xml:space="preserve">is derived from the standard deviation (</w:t>
      </w:r>
      <m:oMath>
        <m:r>
          <m:t>σ</m:t>
        </m:r>
      </m:oMath>
      <w:r>
        <w:t xml:space="preserve">) and temporal autocorrelation (</w:t>
      </w:r>
      <m:oMath>
        <m:r>
          <m:t>ρ</m:t>
        </m:r>
      </m:oMath>
      <w:r>
        <w:t xml:space="preserve">) of indices residuals:</w:t>
      </w:r>
    </w:p>
    <w:p>
      <w:pPr>
        <w:pStyle w:val="Textoindependiente"/>
      </w:pPr>
      <m:oMathPara>
        <m:oMathParaPr>
          <m:jc m:val="center"/>
        </m:oMathParaPr>
        <m:oMath>
          <m:sSub>
            <m:e>
              <m:r>
                <m:t>w</m:t>
              </m:r>
            </m:e>
            <m:sub>
              <m:r>
                <m:t>i</m:t>
              </m:r>
              <m:r>
                <m:rPr>
                  <m:sty m:val="p"/>
                </m:rPr>
                <m:t>,</m:t>
              </m:r>
              <m:r>
                <m:t>Y</m:t>
              </m:r>
            </m:sub>
          </m:sSub>
          <m:r>
            <m:rPr>
              <m:sty m:val="p"/>
            </m:rPr>
            <m:t>=</m:t>
          </m:r>
          <m:f>
            <m:fPr>
              <m:type m:val="bar"/>
            </m:fPr>
            <m:num>
              <m:r>
                <m:t>1</m:t>
              </m:r>
            </m:num>
            <m:den>
              <m:rad>
                <m:radPr>
                  <m:degHide m:val="on"/>
                </m:radPr>
                <m:deg/>
                <m:e>
                  <m:sSub>
                    <m:e>
                      <m:r>
                        <m:t>σ</m:t>
                      </m:r>
                    </m:e>
                    <m:sub>
                      <m:r>
                        <m:t>i</m:t>
                      </m:r>
                    </m:sub>
                  </m:sSub>
                  <m:r>
                    <m:rPr>
                      <m:sty m:val="p"/>
                    </m:rPr>
                    <m:t>/</m:t>
                  </m:r>
                  <m:d>
                    <m:dPr>
                      <m:begChr m:val="("/>
                      <m:sepChr m:val=""/>
                      <m:endChr m:val=")"/>
                      <m:grow/>
                    </m:dPr>
                    <m:e>
                      <m:r>
                        <m:t>1</m:t>
                      </m:r>
                      <m:r>
                        <m:rPr>
                          <m:sty m:val="p"/>
                        </m:rPr>
                        <m:t>−</m:t>
                      </m:r>
                      <m:sSub>
                        <m:e>
                          <m:r>
                            <m:t>ρ</m:t>
                          </m:r>
                        </m:e>
                        <m:sub>
                          <m:r>
                            <m:t>i</m:t>
                          </m:r>
                        </m:sub>
                      </m:sSub>
                    </m:e>
                  </m:d>
                </m:e>
              </m:rad>
            </m:den>
          </m:f>
        </m:oMath>
      </m:oMathPara>
    </w:p>
    <w:p>
      <w:pPr>
        <w:pStyle w:val="FirstParagraph"/>
      </w:pPr>
      <w:r>
        <w:t xml:space="preserve">Once</w:t>
      </w:r>
      <w:r>
        <w:t xml:space="preserve"> </w:t>
      </w:r>
      <m:oMath>
        <m:sSub>
          <m:e>
            <m:r>
              <m:t>J</m:t>
            </m:r>
          </m:e>
          <m:sub>
            <m:r>
              <m:t>Y</m:t>
            </m:r>
          </m:sub>
        </m:sSub>
      </m:oMath>
      <w:r>
        <w:t xml:space="preserve"> </w:t>
      </w:r>
      <w:r>
        <w:t xml:space="preserve">is calculated, we then derive the ratio of change in</w:t>
      </w:r>
      <w:r>
        <w:t xml:space="preserve"> </w:t>
      </w:r>
      <m:oMath>
        <m:r>
          <m:t>J</m:t>
        </m:r>
      </m:oMath>
      <w:r>
        <w:t xml:space="preserve"> </w:t>
      </w:r>
      <w:r>
        <w:t xml:space="preserve">between two consecutive periods in the previous six years (</w:t>
      </w:r>
      <w:hyperlink w:anchor="fig-Jrat">
        <w:r>
          <w:rPr>
            <w:rStyle w:val="Hipervnculo"/>
          </w:rPr>
          <w:t xml:space="preserve">Figure 9</w:t>
        </w:r>
      </w:hyperlink>
      <w:r>
        <w:t xml:space="preserve">):</w:t>
      </w:r>
    </w:p>
    <w:p>
      <w:pPr>
        <w:pStyle w:val="Textoindependiente"/>
      </w:pPr>
      <m:oMathPara>
        <m:oMathParaPr>
          <m:jc m:val="center"/>
        </m:oMathParaPr>
        <m:oMath>
          <m:sSub>
            <m:e>
              <m:r>
                <m:t>J</m:t>
              </m:r>
            </m:e>
            <m:sub>
              <m:r>
                <m:t>r</m:t>
              </m:r>
              <m:r>
                <m:t>a</m:t>
              </m:r>
              <m:r>
                <m:t>t</m:t>
              </m:r>
            </m:sub>
          </m:sSub>
          <m:r>
            <m:rPr>
              <m:sty m:val="p"/>
            </m:rPr>
            <m:t>=</m:t>
          </m:r>
          <m:f>
            <m:fPr>
              <m:type m:val="bar"/>
            </m:fPr>
            <m:num>
              <m:sSub>
                <m:e>
                  <m:r>
                    <m:t>J</m:t>
                  </m:r>
                </m:e>
                <m:sub>
                  <m:r>
                    <m:t>y</m:t>
                  </m:r>
                  <m:r>
                    <m:rPr>
                      <m:sty m:val="p"/>
                    </m:rPr>
                    <m:t>−</m:t>
                  </m:r>
                  <m:r>
                    <m:t>1</m:t>
                  </m:r>
                </m:sub>
              </m:sSub>
              <m:r>
                <m:rPr>
                  <m:sty m:val="p"/>
                </m:rPr>
                <m:t>+</m:t>
              </m:r>
              <m:sSub>
                <m:e>
                  <m:r>
                    <m:t>J</m:t>
                  </m:r>
                </m:e>
                <m:sub>
                  <m:r>
                    <m:t>y</m:t>
                  </m:r>
                  <m:r>
                    <m:rPr>
                      <m:sty m:val="p"/>
                    </m:rPr>
                    <m:t>−</m:t>
                  </m:r>
                  <m:r>
                    <m:t>2</m:t>
                  </m:r>
                </m:sub>
              </m:sSub>
              <m:r>
                <m:rPr>
                  <m:sty m:val="p"/>
                </m:rPr>
                <m:t>+</m:t>
              </m:r>
              <m:sSub>
                <m:e>
                  <m:r>
                    <m:t>J</m:t>
                  </m:r>
                </m:e>
                <m:sub>
                  <m:r>
                    <m:t>y</m:t>
                  </m:r>
                  <m:r>
                    <m:rPr>
                      <m:sty m:val="p"/>
                    </m:rPr>
                    <m:t>−</m:t>
                  </m:r>
                  <m:r>
                    <m:t>3</m:t>
                  </m:r>
                </m:sub>
              </m:sSub>
            </m:num>
            <m:den>
              <m:sSub>
                <m:e>
                  <m:r>
                    <m:t>J</m:t>
                  </m:r>
                </m:e>
                <m:sub>
                  <m:r>
                    <m:t>y</m:t>
                  </m:r>
                  <m:r>
                    <m:rPr>
                      <m:sty m:val="p"/>
                    </m:rPr>
                    <m:t>−</m:t>
                  </m:r>
                  <m:r>
                    <m:t>4</m:t>
                  </m:r>
                </m:sub>
              </m:sSub>
              <m:r>
                <m:rPr>
                  <m:sty m:val="p"/>
                </m:rPr>
                <m:t>+</m:t>
              </m:r>
              <m:sSub>
                <m:e>
                  <m:r>
                    <m:t>J</m:t>
                  </m:r>
                </m:e>
                <m:sub>
                  <m:r>
                    <m:t>y</m:t>
                  </m:r>
                  <m:r>
                    <m:rPr>
                      <m:sty m:val="p"/>
                    </m:rPr>
                    <m:t>−</m:t>
                  </m:r>
                  <m:r>
                    <m:t>5</m:t>
                  </m:r>
                </m:sub>
              </m:sSub>
              <m:r>
                <m:rPr>
                  <m:sty m:val="p"/>
                </m:rPr>
                <m:t>+</m:t>
              </m:r>
              <m:sSub>
                <m:e>
                  <m:r>
                    <m:t>J</m:t>
                  </m:r>
                </m:e>
                <m:sub>
                  <m:r>
                    <m:t>y</m:t>
                  </m:r>
                  <m:r>
                    <m:rPr>
                      <m:sty m:val="p"/>
                    </m:rPr>
                    <m:t>−</m:t>
                  </m:r>
                  <m:r>
                    <m:t>6</m:t>
                  </m:r>
                </m:sub>
              </m:sSub>
            </m:den>
          </m:f>
        </m:oMath>
      </m:oMathPara>
    </w:p>
    <w:tbl>
      <w:tblPr>
        <w:tblStyle w:val="Table"/>
        <w:tblW w:type="pct" w:w="5000"/>
        <w:tblLayout w:type="fixed"/>
        <w:tblLook w:firstRow="0" w:lastRow="0" w:firstColumn="0" w:lastColumn="0" w:noHBand="0" w:noVBand="0" w:val="0000"/>
      </w:tblPr>
      <w:tblGrid>
        <w:gridCol w:w="7920"/>
      </w:tblGrid>
      <w:tr>
        <w:tc>
          <w:tcPr/>
          <w:bookmarkStart w:id="91" w:name="fig-Jrat"/>
          <w:p>
            <w:pPr>
              <w:pStyle w:val="Compact"/>
              <w:jc w:val="center"/>
            </w:pPr>
            <w:r>
              <w:drawing>
                <wp:inline>
                  <wp:extent cx="2886935" cy="2526068"/>
                  <wp:effectExtent b="0" l="0" r="0" t="0"/>
                  <wp:docPr descr="" title="" id="89" name="Picture"/>
                  <a:graphic>
                    <a:graphicData uri="http://schemas.openxmlformats.org/drawingml/2006/picture">
                      <pic:pic>
                        <pic:nvPicPr>
                          <pic:cNvPr descr="../figures/Emp_calculation.png" id="90" name="Picture"/>
                          <pic:cNvPicPr>
                            <a:picLocks noChangeArrowheads="1" noChangeAspect="1"/>
                          </pic:cNvPicPr>
                        </pic:nvPicPr>
                        <pic:blipFill>
                          <a:blip r:embed="rId88"/>
                          <a:stretch>
                            <a:fillRect/>
                          </a:stretch>
                        </pic:blipFill>
                        <pic:spPr bwMode="auto">
                          <a:xfrm>
                            <a:off x="0" y="0"/>
                            <a:ext cx="2886935" cy="25260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 Example of the derivation of</w:t>
            </w:r>
            <w:r>
              <w:t xml:space="preserve"> </w:t>
            </w:r>
            <m:oMath>
              <m:sSub>
                <m:e>
                  <m:r>
                    <m:t>J</m:t>
                  </m:r>
                </m:e>
                <m:sub>
                  <m:r>
                    <m:t>Y</m:t>
                  </m:r>
                </m:sub>
              </m:sSub>
            </m:oMath>
            <w:r>
              <w:t xml:space="preserve"> </w:t>
            </w:r>
            <w:r>
              <w:t xml:space="preserve">from a set of indices. The red line represents</w:t>
            </w:r>
            <w:r>
              <w:t xml:space="preserve"> </w:t>
            </w:r>
            <m:oMath>
              <m:sSub>
                <m:e>
                  <m:r>
                    <m:t>J</m:t>
                  </m:r>
                </m:e>
                <m:sub>
                  <m:r>
                    <m:t>Y</m:t>
                  </m:r>
                </m:sub>
              </m:sSub>
            </m:oMath>
            <w:r>
              <w:t xml:space="preserve"> </w:t>
            </w:r>
            <w:r>
              <w:t xml:space="preserve">for the previous six years.</w:t>
            </w:r>
          </w:p>
          <w:bookmarkEnd w:id="91"/>
        </w:tc>
      </w:tr>
    </w:tbl>
    <w:p>
      <w:pPr>
        <w:pStyle w:val="Textoindependiente"/>
      </w:pPr>
      <w:r>
        <w:t xml:space="preserve">Finally, the TAC for the next management period is obtained:</w:t>
      </w:r>
    </w:p>
    <w:p>
      <w:pPr>
        <w:pStyle w:val="Textoindependiente"/>
      </w:pPr>
      <m:oMathPara>
        <m:oMathParaPr>
          <m:jc m:val="center"/>
        </m:oMathParaPr>
        <m:oMath>
          <m:r>
            <m:t>T</m:t>
          </m:r>
          <m:r>
            <m:t>A</m:t>
          </m:r>
          <m:sSub>
            <m:e>
              <m:r>
                <m:t>C</m:t>
              </m:r>
            </m:e>
            <m:sub>
              <m:r>
                <m:t>t</m:t>
              </m:r>
              <m:r>
                <m:rPr>
                  <m:sty m:val="p"/>
                </m:rPr>
                <m:t>+</m:t>
              </m:r>
              <m:r>
                <m:t>1</m:t>
              </m:r>
            </m:sub>
          </m:sSub>
          <m:r>
            <m:rPr>
              <m:sty m:val="p"/>
            </m:rPr>
            <m:t>=</m:t>
          </m:r>
          <m:sSub>
            <m:e>
              <m:r>
                <m:t>J</m:t>
              </m:r>
            </m:e>
            <m:sub>
              <m:r>
                <m:t>r</m:t>
              </m:r>
              <m:r>
                <m:t>a</m:t>
              </m:r>
              <m:r>
                <m:t>t</m:t>
              </m:r>
            </m:sub>
          </m:sSub>
          <m:r>
            <m:t>T</m:t>
          </m:r>
          <m:r>
            <m:t>A</m:t>
          </m:r>
          <m:sSub>
            <m:e>
              <m:r>
                <m:t>C</m:t>
              </m:r>
            </m:e>
            <m:sub>
              <m:r>
                <m:t>t</m:t>
              </m:r>
            </m:sub>
          </m:sSub>
        </m:oMath>
      </m:oMathPara>
    </w:p>
    <w:p>
      <w:pPr>
        <w:pStyle w:val="FirstParagraph"/>
      </w:pPr>
      <w:r>
        <w:t xml:space="preserve">We imposed two types of restriction on the TAC variation between consecutive management periods</w:t>
      </w:r>
      <w:r>
        <w:t xml:space="preserve"> </w:t>
      </w:r>
      <m:oMath>
        <m:r>
          <m:t>T</m:t>
        </m:r>
        <m:r>
          <m:t>A</m:t>
        </m:r>
        <m:sSub>
          <m:e>
            <m:r>
              <m:t>C</m:t>
            </m:r>
          </m:e>
          <m:sub>
            <m:r>
              <m:t>t</m:t>
            </m:r>
            <m:r>
              <m:rPr>
                <m:sty m:val="p"/>
              </m:rPr>
              <m:t>+</m:t>
            </m:r>
            <m:r>
              <m:t>1</m:t>
            </m:r>
          </m:sub>
        </m:sSub>
      </m:oMath>
      <w:r>
        <w:t xml:space="preserve"> </w:t>
      </w:r>
      <w:r>
        <w:t xml:space="preserve">and</w:t>
      </w:r>
      <w:r>
        <w:t xml:space="preserve"> </w:t>
      </w:r>
      <m:oMath>
        <m:r>
          <m:t>T</m:t>
        </m:r>
        <m:r>
          <m:t>A</m:t>
        </m:r>
        <m:sSub>
          <m:e>
            <m:r>
              <m:t>C</m:t>
            </m:r>
          </m:e>
          <m:sub>
            <m:r>
              <m:t>t</m:t>
            </m:r>
          </m:sub>
        </m:sSub>
      </m:oMath>
      <w:r>
        <w:t xml:space="preserve">:</w:t>
      </w:r>
    </w:p>
    <w:p>
      <w:pPr>
        <w:pStyle w:val="Compact"/>
        <w:numPr>
          <w:ilvl w:val="0"/>
          <w:numId w:val="1005"/>
        </w:numPr>
      </w:pPr>
      <w:r>
        <w:t xml:space="preserve">Maximum increase of 25% and decrease of 20%, or</w:t>
      </w:r>
    </w:p>
    <w:p>
      <w:pPr>
        <w:pStyle w:val="Compact"/>
        <w:numPr>
          <w:ilvl w:val="0"/>
          <w:numId w:val="1005"/>
        </w:numPr>
      </w:pPr>
      <w:r>
        <w:t xml:space="preserve">Maximum increase and decrease of 10%</w:t>
      </w:r>
    </w:p>
    <w:p>
      <w:pPr>
        <w:pStyle w:val="FirstParagraph"/>
      </w:pPr>
      <w:r>
        <w:t xml:space="preserve">In addition,</w:t>
      </w:r>
      <w:r>
        <w:t xml:space="preserve"> </w:t>
      </w:r>
      <m:oMath>
        <m:r>
          <m:t>T</m:t>
        </m:r>
        <m:r>
          <m:t>A</m:t>
        </m:r>
        <m:sSub>
          <m:e>
            <m:r>
              <m:t>C</m:t>
            </m:r>
          </m:e>
          <m:sub>
            <m:r>
              <m:t>t</m:t>
            </m:r>
          </m:sub>
        </m:sSub>
      </m:oMath>
      <w:r>
        <w:t xml:space="preserve"> </w:t>
      </w:r>
      <w:r>
        <w:t xml:space="preserve">was restricted to not exceeding 50,000 tonnes.</w:t>
      </w:r>
    </w:p>
    <w:bookmarkEnd w:id="92"/>
    <w:bookmarkStart w:id="102" w:name="model-based"/>
    <w:p>
      <w:pPr>
        <w:pStyle w:val="Ttulo2"/>
      </w:pPr>
      <w:r>
        <w:t xml:space="preserve">Model-based</w:t>
      </w:r>
    </w:p>
    <w:p>
      <w:pPr>
        <w:pStyle w:val="FirstParagraph"/>
      </w:pPr>
      <w:r>
        <w:t xml:space="preserve">Simulated data was included in a stochastic surplus production model in continuous time (SPiCT). SPiCT is a full state-space model, where biomass and fishing dynamics are modelled as states, which are observed indirectly through biomass indices and commercial catches sampled with error</w:t>
      </w:r>
      <w:r>
        <w:t xml:space="preserve"> </w:t>
      </w:r>
      <w:r>
        <w:t xml:space="preserve">(</w:t>
      </w:r>
      <w:hyperlink w:anchor="Xa5af333d6d43b49a917f8bca6ad12ad5e31213a">
        <w:r>
          <w:rPr>
            <w:rStyle w:val="Hipervnculo"/>
          </w:rPr>
          <w:t xml:space="preserve">Pedersen and Berg, 2017</w:t>
        </w:r>
      </w:hyperlink>
      <w:r>
        <w:t xml:space="preserve">)</w:t>
      </w:r>
      <w:r>
        <w:t xml:space="preserve">. SPiCT is able to calculate maximum sustainable yield (MSY) reference points. The data included in SPiCT was total catch and a set of indices of abundance listed in</w:t>
      </w:r>
      <w:r>
        <w:t xml:space="preserve"> </w:t>
      </w:r>
      <w:hyperlink w:anchor="sec-mp-pcc">
        <w:r>
          <w:rPr>
            <w:rStyle w:val="Hipervnculo"/>
          </w:rPr>
          <w:t xml:space="preserve">Section 4.1</w:t>
        </w:r>
      </w:hyperlink>
      <w:r>
        <w:t xml:space="preserve">. SPiCT assumed that the stock started at unfished levels. A prior on the intrinsic growth rate was specified and obtained from</w:t>
      </w:r>
      <w:r>
        <w:t xml:space="preserve"> </w:t>
      </w:r>
      <w:hyperlink r:id="rId93">
        <w:r>
          <w:rPr>
            <w:rStyle w:val="Hipervnculo"/>
          </w:rPr>
          <w:t xml:space="preserve">FishBase</w:t>
        </w:r>
      </w:hyperlink>
      <w:r>
        <w:t xml:space="preserve">. Likewise, a prior on carrying capacity was set using information from the virgin biomass estimates from SS3.</w:t>
      </w:r>
    </w:p>
    <w:tbl>
      <w:tblPr>
        <w:tblStyle w:val="Table"/>
        <w:tblW w:type="pct" w:w="5000"/>
        <w:tblLayout w:type="fixed"/>
        <w:tblLook w:firstRow="0" w:lastRow="0" w:firstColumn="0" w:lastColumn="0" w:noHBand="0" w:noVBand="0" w:val="0000"/>
      </w:tblPr>
      <w:tblGrid>
        <w:gridCol w:w="7920"/>
      </w:tblGrid>
      <w:tr>
        <w:tc>
          <w:tcPr/>
          <w:bookmarkStart w:id="97" w:name="fig-hcr"/>
          <w:p>
            <w:pPr>
              <w:pStyle w:val="Compact"/>
              <w:jc w:val="center"/>
            </w:pPr>
            <w:r>
              <w:drawing>
                <wp:inline>
                  <wp:extent cx="2886935" cy="2526068"/>
                  <wp:effectExtent b="0" l="0" r="0" t="0"/>
                  <wp:docPr descr="" title="" id="95" name="Picture"/>
                  <a:graphic>
                    <a:graphicData uri="http://schemas.openxmlformats.org/drawingml/2006/picture">
                      <pic:pic>
                        <pic:nvPicPr>
                          <pic:cNvPr descr="../figures/hcr_example.png" id="96" name="Picture"/>
                          <pic:cNvPicPr>
                            <a:picLocks noChangeArrowheads="1" noChangeAspect="1"/>
                          </pic:cNvPicPr>
                        </pic:nvPicPr>
                        <pic:blipFill>
                          <a:blip r:embed="rId94"/>
                          <a:stretch>
                            <a:fillRect/>
                          </a:stretch>
                        </pic:blipFill>
                        <pic:spPr bwMode="auto">
                          <a:xfrm>
                            <a:off x="0" y="0"/>
                            <a:ext cx="2886935" cy="25260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Example of HCR in model-based MPs.</w:t>
            </w:r>
          </w:p>
          <w:bookmarkEnd w:id="97"/>
        </w:tc>
      </w:tr>
    </w:tbl>
    <w:p>
      <w:pPr>
        <w:pStyle w:val="Textoindependiente"/>
      </w:pPr>
      <w:r>
        <w:t xml:space="preserve">TAC is derived from a harvest control rule based on stock status estimate (</w:t>
      </w:r>
      <w:hyperlink w:anchor="fig-hcr">
        <w:r>
          <w:rPr>
            <w:rStyle w:val="Hipervnculo"/>
          </w:rPr>
          <w:t xml:space="preserve">Figure 10</w:t>
        </w:r>
      </w:hyperlink>
      <w:r>
        <w:t xml:space="preserve">). In the HCR,</w:t>
      </w:r>
      <w:r>
        <w:t xml:space="preserve"> </w:t>
      </w:r>
      <m:oMath>
        <m:sSub>
          <m:e>
            <m:r>
              <m:t>F</m:t>
            </m:r>
          </m:e>
          <m:sub>
            <m:r>
              <m:t>t</m:t>
            </m:r>
            <m:r>
              <m:t>g</m:t>
            </m:r>
            <m:r>
              <m:t>t</m:t>
            </m:r>
          </m:sub>
        </m:sSub>
      </m:oMath>
      <w:r>
        <w:t xml:space="preserve"> </w:t>
      </w:r>
      <w:r>
        <w:t xml:space="preserve">and</w:t>
      </w:r>
      <w:r>
        <w:t xml:space="preserve"> </w:t>
      </w:r>
      <m:oMath>
        <m:sSub>
          <m:e>
            <m:r>
              <m:t>B</m:t>
            </m:r>
          </m:e>
          <m:sub>
            <m:r>
              <m:t>t</m:t>
            </m:r>
            <m:r>
              <m:t>h</m:t>
            </m:r>
            <m:r>
              <m:t>r</m:t>
            </m:r>
          </m:sub>
        </m:sSub>
      </m:oMath>
      <w:r>
        <w:t xml:space="preserve"> </w:t>
      </w:r>
      <w:r>
        <w:t xml:space="preserve">need to be defined, and the following options were tested (</w:t>
      </w:r>
      <w:hyperlink w:anchor="fig-combs">
        <w:r>
          <w:rPr>
            <w:rStyle w:val="Hipervnculo"/>
          </w:rPr>
          <w:t xml:space="preserve">Figure 11</w:t>
        </w:r>
      </w:hyperlink>
      <w:r>
        <w:t xml:space="preserve">):</w:t>
      </w:r>
    </w:p>
    <w:p>
      <w:pPr>
        <w:pStyle w:val="Compact"/>
        <w:numPr>
          <w:ilvl w:val="0"/>
          <w:numId w:val="1006"/>
        </w:numPr>
      </w:pPr>
      <m:oMath>
        <m:sSub>
          <m:e>
            <m:r>
              <m:t>F</m:t>
            </m:r>
          </m:e>
          <m:sub>
            <m:r>
              <m:t>t</m:t>
            </m:r>
            <m:r>
              <m:t>g</m:t>
            </m:r>
            <m:r>
              <m:t>t</m:t>
            </m:r>
          </m:sub>
        </m:sSub>
        <m:r>
          <m:rPr>
            <m:sty m:val="p"/>
          </m:rPr>
          <m:t>=</m:t>
        </m:r>
        <m:r>
          <m:t>0.8</m:t>
        </m:r>
        <m:sSub>
          <m:e>
            <m:r>
              <m:t>F</m:t>
            </m:r>
          </m:e>
          <m:sub>
            <m:r>
              <m:t>m</m:t>
            </m:r>
            <m:r>
              <m:t>s</m:t>
            </m:r>
            <m:r>
              <m:t>y</m:t>
            </m:r>
          </m:sub>
        </m:sSub>
      </m:oMath>
      <w:r>
        <w:t xml:space="preserve"> </w:t>
      </w:r>
      <w:r>
        <w:t xml:space="preserve">and</w:t>
      </w:r>
      <w:r>
        <w:t xml:space="preserve"> </w:t>
      </w:r>
      <m:oMath>
        <m:sSub>
          <m:e>
            <m:r>
              <m:t>B</m:t>
            </m:r>
          </m:e>
          <m:sub>
            <m:r>
              <m:t>t</m:t>
            </m:r>
            <m:r>
              <m:t>h</m:t>
            </m:r>
            <m:r>
              <m:t>r</m:t>
            </m:r>
          </m:sub>
        </m:sSub>
        <m:r>
          <m:rPr>
            <m:sty m:val="p"/>
          </m:rPr>
          <m:t>=</m:t>
        </m:r>
        <m:sSub>
          <m:e>
            <m:r>
              <m:t>B</m:t>
            </m:r>
          </m:e>
          <m:sub>
            <m:r>
              <m:t>m</m:t>
            </m:r>
            <m:r>
              <m:t>s</m:t>
            </m:r>
            <m:r>
              <m:t>y</m:t>
            </m:r>
          </m:sub>
        </m:sSub>
      </m:oMath>
    </w:p>
    <w:p>
      <w:pPr>
        <w:pStyle w:val="Compact"/>
        <w:numPr>
          <w:ilvl w:val="0"/>
          <w:numId w:val="1006"/>
        </w:numPr>
      </w:pPr>
      <m:oMath>
        <m:sSub>
          <m:e>
            <m:r>
              <m:t>F</m:t>
            </m:r>
          </m:e>
          <m:sub>
            <m:r>
              <m:t>t</m:t>
            </m:r>
            <m:r>
              <m:t>g</m:t>
            </m:r>
            <m:r>
              <m:t>t</m:t>
            </m:r>
          </m:sub>
        </m:sSub>
        <m:r>
          <m:rPr>
            <m:sty m:val="p"/>
          </m:rPr>
          <m:t>=</m:t>
        </m:r>
        <m:sSub>
          <m:e>
            <m:r>
              <m:t>F</m:t>
            </m:r>
          </m:e>
          <m:sub>
            <m:r>
              <m:t>m</m:t>
            </m:r>
            <m:r>
              <m:t>s</m:t>
            </m:r>
            <m:r>
              <m:t>y</m:t>
            </m:r>
          </m:sub>
        </m:sSub>
      </m:oMath>
      <w:r>
        <w:t xml:space="preserve"> </w:t>
      </w:r>
      <w:r>
        <w:t xml:space="preserve">and</w:t>
      </w:r>
      <w:r>
        <w:t xml:space="preserve"> </w:t>
      </w:r>
      <m:oMath>
        <m:sSub>
          <m:e>
            <m:r>
              <m:t>B</m:t>
            </m:r>
          </m:e>
          <m:sub>
            <m:r>
              <m:t>t</m:t>
            </m:r>
            <m:r>
              <m:t>h</m:t>
            </m:r>
            <m:r>
              <m:t>r</m:t>
            </m:r>
          </m:sub>
        </m:sSub>
        <m:r>
          <m:rPr>
            <m:sty m:val="p"/>
          </m:rPr>
          <m:t>=</m:t>
        </m:r>
        <m:sSub>
          <m:e>
            <m:r>
              <m:t>B</m:t>
            </m:r>
          </m:e>
          <m:sub>
            <m:r>
              <m:t>m</m:t>
            </m:r>
            <m:r>
              <m:t>s</m:t>
            </m:r>
            <m:r>
              <m:t>y</m:t>
            </m:r>
          </m:sub>
        </m:sSub>
      </m:oMath>
    </w:p>
    <w:tbl>
      <w:tblPr>
        <w:tblStyle w:val="Table"/>
        <w:tblW w:type="pct" w:w="5000"/>
        <w:tblLayout w:type="fixed"/>
        <w:tblLook w:firstRow="0" w:lastRow="0" w:firstColumn="0" w:lastColumn="0" w:noHBand="0" w:noVBand="0" w:val="0000"/>
      </w:tblPr>
      <w:tblGrid>
        <w:gridCol w:w="7920"/>
      </w:tblGrid>
      <w:tr>
        <w:tc>
          <w:tcPr/>
          <w:bookmarkStart w:id="101" w:name="fig-combs"/>
          <w:p>
            <w:pPr>
              <w:pStyle w:val="Compact"/>
              <w:jc w:val="center"/>
            </w:pPr>
            <w:r>
              <w:drawing>
                <wp:inline>
                  <wp:extent cx="3067368" cy="4694327"/>
                  <wp:effectExtent b="0" l="0" r="0" t="0"/>
                  <wp:docPr descr="" title="" id="99" name="Picture"/>
                  <a:graphic>
                    <a:graphicData uri="http://schemas.openxmlformats.org/drawingml/2006/picture">
                      <pic:pic>
                        <pic:nvPicPr>
                          <pic:cNvPr descr="../figures/hcr_combs_2.png" id="100" name="Picture"/>
                          <pic:cNvPicPr>
                            <a:picLocks noChangeArrowheads="1" noChangeAspect="1"/>
                          </pic:cNvPicPr>
                        </pic:nvPicPr>
                        <pic:blipFill>
                          <a:blip r:embed="rId98"/>
                          <a:stretch>
                            <a:fillRect/>
                          </a:stretch>
                        </pic:blipFill>
                        <pic:spPr bwMode="auto">
                          <a:xfrm>
                            <a:off x="0" y="0"/>
                            <a:ext cx="3067368" cy="469432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Evaluated HCRs in model-based MPs.</w:t>
            </w:r>
          </w:p>
          <w:bookmarkEnd w:id="101"/>
        </w:tc>
      </w:tr>
    </w:tbl>
    <w:p>
      <w:pPr>
        <w:pStyle w:val="Textoindependiente"/>
      </w:pPr>
      <w:r>
        <w:t xml:space="preserve">It was assumed that</w:t>
      </w:r>
      <w:r>
        <w:t xml:space="preserve"> </w:t>
      </w:r>
      <m:oMath>
        <m:sSub>
          <m:e>
            <m:r>
              <m:t>B</m:t>
            </m:r>
          </m:e>
          <m:sub>
            <m:r>
              <m:t>l</m:t>
            </m:r>
            <m:r>
              <m:t>i</m:t>
            </m:r>
            <m:r>
              <m:t>m</m:t>
            </m:r>
          </m:sub>
        </m:sSub>
        <m:r>
          <m:rPr>
            <m:sty m:val="p"/>
          </m:rPr>
          <m:t>=</m:t>
        </m:r>
        <m:r>
          <m:t>0.4</m:t>
        </m:r>
        <m:r>
          <m:rPr>
            <m:sty m:val="p"/>
          </m:rPr>
          <m:t>×</m:t>
        </m:r>
        <m:sSub>
          <m:e>
            <m:r>
              <m:t>B</m:t>
            </m:r>
          </m:e>
          <m:sub>
            <m:r>
              <m:t>m</m:t>
            </m:r>
            <m:r>
              <m:t>s</m:t>
            </m:r>
            <m:r>
              <m:t>y</m:t>
            </m:r>
          </m:sub>
        </m:sSub>
      </m:oMath>
      <w:r>
        <w:t xml:space="preserve"> </w:t>
      </w:r>
      <w:r>
        <w:t xml:space="preserve">and</w:t>
      </w:r>
      <w:r>
        <w:t xml:space="preserve"> </w:t>
      </w:r>
      <m:oMath>
        <m:sSub>
          <m:e>
            <m:r>
              <m:t>F</m:t>
            </m:r>
          </m:e>
          <m:sub>
            <m:r>
              <m:t>m</m:t>
            </m:r>
            <m:r>
              <m:t>i</m:t>
            </m:r>
            <m:r>
              <m:t>m</m:t>
            </m:r>
          </m:sub>
        </m:sSub>
        <m:r>
          <m:rPr>
            <m:sty m:val="p"/>
          </m:rPr>
          <m:t>=</m:t>
        </m:r>
        <m:r>
          <m:t>0.1</m:t>
        </m:r>
        <m:r>
          <m:rPr>
            <m:sty m:val="p"/>
          </m:rPr>
          <m:t>×</m:t>
        </m:r>
        <m:sSub>
          <m:e>
            <m:r>
              <m:t>F</m:t>
            </m:r>
          </m:e>
          <m:sub>
            <m:r>
              <m:t>m</m:t>
            </m:r>
            <m:r>
              <m:t>s</m:t>
            </m:r>
            <m:r>
              <m:t>y</m:t>
            </m:r>
          </m:sub>
        </m:sSub>
      </m:oMath>
      <w:r>
        <w:t xml:space="preserve"> </w:t>
      </w:r>
      <w:r>
        <w:t xml:space="preserve">for all cases. These MPs were divided into two groups, depending on the maximum allowed variation between</w:t>
      </w:r>
      <w:r>
        <w:t xml:space="preserve"> </w:t>
      </w:r>
      <m:oMath>
        <m:r>
          <m:t>T</m:t>
        </m:r>
        <m:r>
          <m:t>A</m:t>
        </m:r>
        <m:sSub>
          <m:e>
            <m:r>
              <m:t>C</m:t>
            </m:r>
          </m:e>
          <m:sub>
            <m:r>
              <m:t>t</m:t>
            </m:r>
            <m:r>
              <m:rPr>
                <m:sty m:val="p"/>
              </m:rPr>
              <m:t>+</m:t>
            </m:r>
            <m:r>
              <m:t>1</m:t>
            </m:r>
          </m:sub>
        </m:sSub>
      </m:oMath>
      <w:r>
        <w:t xml:space="preserve"> </w:t>
      </w:r>
      <w:r>
        <w:t xml:space="preserve">and</w:t>
      </w:r>
      <w:r>
        <w:t xml:space="preserve"> </w:t>
      </w:r>
      <m:oMath>
        <m:r>
          <m:t>T</m:t>
        </m:r>
        <m:r>
          <m:t>A</m:t>
        </m:r>
        <m:sSub>
          <m:e>
            <m:r>
              <m:t>C</m:t>
            </m:r>
          </m:e>
          <m:sub>
            <m:r>
              <m:t>t</m:t>
            </m:r>
          </m:sub>
        </m:sSub>
      </m:oMath>
      <w:r>
        <w:t xml:space="preserve">:</w:t>
      </w:r>
    </w:p>
    <w:p>
      <w:pPr>
        <w:pStyle w:val="Compact"/>
        <w:numPr>
          <w:ilvl w:val="0"/>
          <w:numId w:val="1007"/>
        </w:numPr>
      </w:pPr>
      <w:r>
        <w:t xml:space="preserve">Maximum increase or decrease of 10%, or</w:t>
      </w:r>
    </w:p>
    <w:p>
      <w:pPr>
        <w:pStyle w:val="Compact"/>
        <w:numPr>
          <w:ilvl w:val="0"/>
          <w:numId w:val="1007"/>
        </w:numPr>
      </w:pPr>
      <w:r>
        <w:t xml:space="preserve">Maximum increase of 25% and decrease of 20%</w:t>
      </w:r>
    </w:p>
    <w:p>
      <w:pPr>
        <w:pStyle w:val="FirstParagraph"/>
      </w:pPr>
      <w:r>
        <w:t xml:space="preserve">In addition,</w:t>
      </w:r>
      <w:r>
        <w:t xml:space="preserve"> </w:t>
      </w:r>
      <m:oMath>
        <m:r>
          <m:t>T</m:t>
        </m:r>
        <m:r>
          <m:t>A</m:t>
        </m:r>
        <m:sSub>
          <m:e>
            <m:r>
              <m:t>C</m:t>
            </m:r>
          </m:e>
          <m:sub>
            <m:r>
              <m:t>t</m:t>
            </m:r>
          </m:sub>
        </m:sSub>
      </m:oMath>
      <w:r>
        <w:t xml:space="preserve"> </w:t>
      </w:r>
      <w:r>
        <w:t xml:space="preserve">was restricted to not exceeding 50,000 tonnes.</w:t>
      </w:r>
    </w:p>
    <w:bookmarkEnd w:id="102"/>
    <w:bookmarkEnd w:id="103"/>
    <w:bookmarkStart w:id="126" w:name="performance-indicators"/>
    <w:p>
      <w:pPr>
        <w:pStyle w:val="Ttulo1"/>
      </w:pPr>
      <w:r>
        <w:t xml:space="preserve">Performance Indicators</w:t>
      </w:r>
    </w:p>
    <w:p>
      <w:pPr>
        <w:pStyle w:val="FirstParagraph"/>
      </w:pPr>
      <w:r>
        <w:t xml:space="preserve">15 PIs have been developed for the N-ALB MSE (</w:t>
      </w:r>
      <w:hyperlink w:anchor="tbl-pm">
        <w:r>
          <w:rPr>
            <w:rStyle w:val="Hipervnculo"/>
          </w:rPr>
          <w:t xml:space="preserve">Table 3</w:t>
        </w:r>
      </w:hyperlink>
      <w:r>
        <w:t xml:space="preserve">) and are calculated in the simulation period. These PIs are grouped into four types:</w:t>
      </w:r>
    </w:p>
    <w:p>
      <w:pPr>
        <w:numPr>
          <w:ilvl w:val="0"/>
          <w:numId w:val="1008"/>
        </w:numPr>
      </w:pPr>
      <w:r>
        <w:rPr>
          <w:b/>
          <w:bCs/>
        </w:rPr>
        <w:t xml:space="preserve">Status</w:t>
      </w:r>
      <w:r>
        <w:t xml:space="preserve">: indicators related to stock status</w:t>
      </w:r>
    </w:p>
    <w:p>
      <w:pPr>
        <w:numPr>
          <w:ilvl w:val="0"/>
          <w:numId w:val="1008"/>
        </w:numPr>
      </w:pPr>
      <w:r>
        <w:rPr>
          <w:b/>
          <w:bCs/>
        </w:rPr>
        <w:t xml:space="preserve">Safety</w:t>
      </w:r>
      <w:r>
        <w:t xml:space="preserve">: indicators related to the probability of the stock not falling below the biological reference points</w:t>
      </w:r>
    </w:p>
    <w:p>
      <w:pPr>
        <w:numPr>
          <w:ilvl w:val="0"/>
          <w:numId w:val="1008"/>
        </w:numPr>
      </w:pPr>
      <w:r>
        <w:rPr>
          <w:b/>
          <w:bCs/>
        </w:rPr>
        <w:t xml:space="preserve">Yield</w:t>
      </w:r>
      <w:r>
        <w:t xml:space="preserve">: indicators related to the catch in the projection years</w:t>
      </w:r>
    </w:p>
    <w:p>
      <w:pPr>
        <w:numPr>
          <w:ilvl w:val="0"/>
          <w:numId w:val="1008"/>
        </w:numPr>
      </w:pPr>
      <w:r>
        <w:rPr>
          <w:b/>
          <w:bCs/>
        </w:rPr>
        <w:t xml:space="preserve">Stability</w:t>
      </w:r>
      <w:r>
        <w:t xml:space="preserve">: indicators related to the variation in the catches or TAC between management cycles</w:t>
      </w:r>
    </w:p>
    <w:p>
      <w:pPr>
        <w:pStyle w:val="FirstParagraph"/>
      </w:pPr>
      <w:r>
        <w:t xml:space="preserve">Each PI was calculated for every Reference OM (i.e., 400 PIs). Examples of each PI is given below.</w:t>
      </w:r>
    </w:p>
    <w:tbl>
      <w:tblPr>
        <w:tblStyle w:val="Table"/>
        <w:tblW w:type="pct" w:w="5000"/>
        <w:tblLayout w:type="fixed"/>
        <w:tblLook w:firstRow="0" w:lastRow="0" w:firstColumn="0" w:lastColumn="0" w:noHBand="0" w:noVBand="0" w:val="0000"/>
      </w:tblPr>
      <w:tblGrid>
        <w:gridCol w:w="7920"/>
      </w:tblGrid>
      <w:tr>
        <w:tc>
          <w:tcPr/>
          <w:bookmarkStart w:id="104" w:name="tbl-pm"/>
          <w:p>
            <w:pPr>
              <w:jc w:val="center"/>
            </w:pPr>
            <w:pPr>
              <w:jc w:val="left"/>
              <w:spacing w:before="200"/>
              <w:pStyle w:val="ImageCaption"/>
            </w:pPr>
            <w:r>
              <w:t xml:space="preserve">Table 3: Performance indicators and description. These indicators were calculated from the simulation period.</w:t>
            </w:r>
          </w:p>
          <w:tbl>
            <w:tblPr>
              <w:tblStyle w:val="Table"/>
              <w:tblW w:type="pct" w:w="5000"/>
              <w:tblLayout w:type="fixed"/>
              <w:tblLook w:firstRow="1" w:lastRow="0" w:firstColumn="0" w:lastColumn="0" w:noHBand="0" w:noVBand="0" w:val="0020"/>
            </w:tblPr>
            <w:tblGrid>
              <w:gridCol w:w="1870"/>
              <w:gridCol w:w="2090"/>
              <w:gridCol w:w="1870"/>
              <w:gridCol w:w="2090"/>
            </w:tblGrid>
            <w:tr>
              <w:trPr>
                <w:tblHeader w:val="on"/>
              </w:trPr>
              <w:tc>
                <w:tcPr/>
                <w:p>
                  <w:pPr>
                    <w:pStyle w:val="Compact"/>
                    <w:jc w:val="center"/>
                  </w:pPr>
                  <w:r>
                    <w:t xml:space="preserve">Type</w:t>
                  </w:r>
                </w:p>
              </w:tc>
              <w:tc>
                <w:tcPr/>
                <w:p>
                  <w:pPr>
                    <w:pStyle w:val="Compact"/>
                    <w:jc w:val="center"/>
                  </w:pPr>
                  <w:r>
                    <w:t xml:space="preserve">Metric</w:t>
                  </w:r>
                </w:p>
              </w:tc>
              <w:tc>
                <w:tcPr/>
                <w:p>
                  <w:pPr>
                    <w:pStyle w:val="Compact"/>
                    <w:jc w:val="center"/>
                  </w:pPr>
                  <w:r>
                    <w:t xml:space="preserve">Symbol</w:t>
                  </w:r>
                </w:p>
              </w:tc>
              <w:tc>
                <w:tcPr/>
                <w:p>
                  <w:pPr>
                    <w:pStyle w:val="Compact"/>
                    <w:jc w:val="center"/>
                  </w:pPr>
                  <w:r>
                    <w:t xml:space="preserve">Description</w:t>
                  </w:r>
                </w:p>
              </w:tc>
            </w:tr>
            <w:tr>
              <w:tc>
                <w:tcPr/>
                <w:p>
                  <w:pPr>
                    <w:pStyle w:val="Compact"/>
                    <w:jc w:val="center"/>
                  </w:pPr>
                  <w:r>
                    <w:t xml:space="preserve">Status</w:t>
                  </w:r>
                </w:p>
              </w:tc>
              <w:tc>
                <w:tcPr/>
                <w:p>
                  <w:pPr>
                    <w:pStyle w:val="Compact"/>
                    <w:jc w:val="center"/>
                  </w:pPr>
                  <w:r>
                    <w:t xml:space="preserve">Minimum spawner biomass relative to</w:t>
                  </w:r>
                  <w:r>
                    <w:t xml:space="preserve"> </w:t>
                  </w:r>
                  <m:oMath>
                    <m:sSub>
                      <m:e>
                        <m:r>
                          <m:t>B</m:t>
                        </m:r>
                      </m:e>
                      <m:sub>
                        <m:r>
                          <m:t>m</m:t>
                        </m:r>
                        <m:r>
                          <m:t>s</m:t>
                        </m:r>
                        <m:r>
                          <m:t>y</m:t>
                        </m:r>
                      </m:sub>
                    </m:sSub>
                  </m:oMath>
                </w:p>
              </w:tc>
              <w:tc>
                <w:tcPr/>
                <w:p>
                  <w:pPr>
                    <w:pStyle w:val="Compact"/>
                    <w:jc w:val="center"/>
                  </w:pPr>
                  <m:oMath>
                    <m:r>
                      <m:t>m</m:t>
                    </m:r>
                    <m:r>
                      <m:t>i</m:t>
                    </m:r>
                    <m:r>
                      <m:t>n</m:t>
                    </m:r>
                    <m:r>
                      <m:t>B</m:t>
                    </m:r>
                  </m:oMath>
                </w:p>
              </w:tc>
              <w:tc>
                <w:tcPr/>
                <w:p>
                  <w:pPr>
                    <w:pStyle w:val="Compact"/>
                    <w:jc w:val="center"/>
                  </w:pPr>
                  <m:oMath>
                    <m:r>
                      <m:t>m</m:t>
                    </m:r>
                    <m:r>
                      <m:t>i</m:t>
                    </m:r>
                    <m:r>
                      <m:t>n</m:t>
                    </m:r>
                    <m:d>
                      <m:dPr>
                        <m:begChr m:val="("/>
                        <m:sepChr m:val=""/>
                        <m:endChr m:val=")"/>
                        <m:grow/>
                      </m:dPr>
                      <m:e>
                        <m:sSub>
                          <m:e>
                            <m:r>
                              <m:t>B</m:t>
                            </m:r>
                          </m:e>
                          <m:sub>
                            <m:r>
                              <m:t>y</m:t>
                            </m:r>
                          </m:sub>
                        </m:sSub>
                        <m:r>
                          <m:rPr>
                            <m:sty m:val="p"/>
                          </m:rPr>
                          <m:t>/</m:t>
                        </m:r>
                        <m:sSub>
                          <m:e>
                            <m:r>
                              <m:t>B</m:t>
                            </m:r>
                          </m:e>
                          <m:sub>
                            <m:r>
                              <m:t>m</m:t>
                            </m:r>
                            <m:r>
                              <m:t>s</m:t>
                            </m:r>
                            <m:r>
                              <m:t>y</m:t>
                            </m:r>
                          </m:sub>
                        </m:sSub>
                      </m:e>
                    </m:d>
                  </m:oMath>
                </w:p>
              </w:tc>
            </w:tr>
            <w:tr>
              <w:tc>
                <w:tcPr/>
                <w:p>
                  <w:pPr>
                    <w:pStyle w:val="Compact"/>
                    <w:jc w:val="center"/>
                  </w:pPr>
                  <w:r>
                    <w:t xml:space="preserve">Status</w:t>
                  </w:r>
                </w:p>
              </w:tc>
              <w:tc>
                <w:tcPr/>
                <w:p>
                  <w:pPr>
                    <w:pStyle w:val="Compact"/>
                    <w:jc w:val="center"/>
                  </w:pPr>
                  <w:r>
                    <w:t xml:space="preserve">Mean spawner biomass relative to</w:t>
                  </w:r>
                  <w:r>
                    <w:t xml:space="preserve"> </w:t>
                  </w:r>
                  <m:oMath>
                    <m:sSub>
                      <m:e>
                        <m:r>
                          <m:t>B</m:t>
                        </m:r>
                      </m:e>
                      <m:sub>
                        <m:r>
                          <m:t>m</m:t>
                        </m:r>
                        <m:r>
                          <m:t>s</m:t>
                        </m:r>
                        <m:r>
                          <m:t>y</m:t>
                        </m:r>
                      </m:sub>
                    </m:sSub>
                  </m:oMath>
                </w:p>
              </w:tc>
              <w:tc>
                <w:tcPr/>
                <w:p>
                  <w:pPr>
                    <w:pStyle w:val="Compact"/>
                    <w:jc w:val="center"/>
                  </w:pPr>
                  <m:oMath>
                    <m:r>
                      <m:t>m</m:t>
                    </m:r>
                    <m:r>
                      <m:t>e</m:t>
                    </m:r>
                    <m:r>
                      <m:t>a</m:t>
                    </m:r>
                    <m:r>
                      <m:t>n</m:t>
                    </m:r>
                    <m:r>
                      <m:t>B</m:t>
                    </m:r>
                  </m:oMath>
                </w:p>
              </w:tc>
              <w:tc>
                <w:tcPr/>
                <w:p>
                  <w:pPr>
                    <w:pStyle w:val="Compact"/>
                    <w:jc w:val="center"/>
                  </w:pPr>
                  <m:oMath>
                    <m:sSup>
                      <m:e>
                        <m:d>
                          <m:dPr>
                            <m:begChr m:val="("/>
                            <m:sepChr m:val=""/>
                            <m:endChr m:val=")"/>
                            <m:grow/>
                          </m:dPr>
                          <m:e>
                            <m:nary>
                              <m:naryPr>
                                <m:chr m:val="∏"/>
                                <m:limLoc m:val="undOvr"/>
                                <m:subHide m:val="off"/>
                                <m:supHide m:val="on"/>
                              </m:naryPr>
                              <m:sub>
                                <m:r>
                                  <m:t>y</m:t>
                                </m:r>
                              </m:sub>
                              <m:sup>
                                <m:r>
                                  <m:t>​</m:t>
                                </m:r>
                              </m:sup>
                              <m:e>
                                <m:sSub>
                                  <m:e>
                                    <m:r>
                                      <m:t>B</m:t>
                                    </m:r>
                                  </m:e>
                                  <m:sub>
                                    <m:r>
                                      <m:t>y</m:t>
                                    </m:r>
                                  </m:sub>
                                </m:sSub>
                              </m:e>
                            </m:nary>
                            <m:r>
                              <m:rPr>
                                <m:sty m:val="p"/>
                              </m:rPr>
                              <m:t>/</m:t>
                            </m:r>
                            <m:sSub>
                              <m:e>
                                <m:r>
                                  <m:t>B</m:t>
                                </m:r>
                              </m:e>
                              <m:sub>
                                <m:r>
                                  <m:t>m</m:t>
                                </m:r>
                                <m:r>
                                  <m:t>s</m:t>
                                </m:r>
                                <m:r>
                                  <m:t>y</m:t>
                                </m:r>
                              </m:sub>
                            </m:sSub>
                          </m:e>
                        </m:d>
                      </m:e>
                      <m:sup>
                        <m:r>
                          <m:t>1</m:t>
                        </m:r>
                        <m:r>
                          <m:rPr>
                            <m:sty m:val="p"/>
                          </m:rPr>
                          <m:t>/</m:t>
                        </m:r>
                        <m:sSub>
                          <m:e>
                            <m:r>
                              <m:t>n</m:t>
                            </m:r>
                          </m:e>
                          <m:sub>
                            <m:r>
                              <m:t>y</m:t>
                            </m:r>
                          </m:sub>
                        </m:sSub>
                      </m:sup>
                    </m:sSup>
                  </m:oMath>
                </w:p>
              </w:tc>
            </w:tr>
            <w:tr>
              <w:tc>
                <w:tcPr/>
                <w:p>
                  <w:pPr>
                    <w:pStyle w:val="Compact"/>
                    <w:jc w:val="center"/>
                  </w:pPr>
                  <w:r>
                    <w:t xml:space="preserve">Status</w:t>
                  </w:r>
                </w:p>
              </w:tc>
              <w:tc>
                <w:tcPr/>
                <w:p>
                  <w:pPr>
                    <w:pStyle w:val="Compact"/>
                    <w:jc w:val="center"/>
                  </w:pPr>
                  <w:r>
                    <w:t xml:space="preserve">Mean fishing mortality relative to</w:t>
                  </w:r>
                  <w:r>
                    <w:t xml:space="preserve"> </w:t>
                  </w:r>
                  <m:oMath>
                    <m:sSub>
                      <m:e>
                        <m:r>
                          <m:t>F</m:t>
                        </m:r>
                      </m:e>
                      <m:sub>
                        <m:r>
                          <m:t>m</m:t>
                        </m:r>
                        <m:r>
                          <m:t>s</m:t>
                        </m:r>
                        <m:r>
                          <m:t>y</m:t>
                        </m:r>
                      </m:sub>
                    </m:sSub>
                  </m:oMath>
                </w:p>
              </w:tc>
              <w:tc>
                <w:tcPr/>
                <w:p>
                  <w:pPr>
                    <w:pStyle w:val="Compact"/>
                    <w:jc w:val="center"/>
                  </w:pPr>
                  <m:oMath>
                    <m:r>
                      <m:t>m</m:t>
                    </m:r>
                    <m:r>
                      <m:t>e</m:t>
                    </m:r>
                    <m:r>
                      <m:t>a</m:t>
                    </m:r>
                    <m:r>
                      <m:t>n</m:t>
                    </m:r>
                    <m:r>
                      <m:t>F</m:t>
                    </m:r>
                  </m:oMath>
                </w:p>
              </w:tc>
              <w:tc>
                <w:tcPr/>
                <w:p>
                  <w:pPr>
                    <w:pStyle w:val="Compact"/>
                    <w:jc w:val="center"/>
                  </w:pPr>
                  <m:oMath>
                    <m:sSup>
                      <m:e>
                        <m:d>
                          <m:dPr>
                            <m:begChr m:val="("/>
                            <m:sepChr m:val=""/>
                            <m:endChr m:val=")"/>
                            <m:grow/>
                          </m:dPr>
                          <m:e>
                            <m:nary>
                              <m:naryPr>
                                <m:chr m:val="∏"/>
                                <m:limLoc m:val="undOvr"/>
                                <m:subHide m:val="off"/>
                                <m:supHide m:val="on"/>
                              </m:naryPr>
                              <m:sub>
                                <m:r>
                                  <m:t>y</m:t>
                                </m:r>
                              </m:sub>
                              <m:sup>
                                <m:r>
                                  <m:t>​</m:t>
                                </m:r>
                              </m:sup>
                              <m:e>
                                <m:sSub>
                                  <m:e>
                                    <m:r>
                                      <m:t>F</m:t>
                                    </m:r>
                                  </m:e>
                                  <m:sub>
                                    <m:r>
                                      <m:t>y</m:t>
                                    </m:r>
                                  </m:sub>
                                </m:sSub>
                              </m:e>
                            </m:nary>
                            <m:r>
                              <m:rPr>
                                <m:sty m:val="p"/>
                              </m:rPr>
                              <m:t>/</m:t>
                            </m:r>
                            <m:sSub>
                              <m:e>
                                <m:r>
                                  <m:t>F</m:t>
                                </m:r>
                              </m:e>
                              <m:sub>
                                <m:r>
                                  <m:t>m</m:t>
                                </m:r>
                                <m:r>
                                  <m:t>s</m:t>
                                </m:r>
                                <m:r>
                                  <m:t>y</m:t>
                                </m:r>
                              </m:sub>
                            </m:sSub>
                          </m:e>
                        </m:d>
                      </m:e>
                      <m:sup>
                        <m:r>
                          <m:t>1</m:t>
                        </m:r>
                        <m:r>
                          <m:rPr>
                            <m:sty m:val="p"/>
                          </m:rPr>
                          <m:t>/</m:t>
                        </m:r>
                        <m:sSub>
                          <m:e>
                            <m:r>
                              <m:t>n</m:t>
                            </m:r>
                          </m:e>
                          <m:sub>
                            <m:r>
                              <m:t>y</m:t>
                            </m:r>
                          </m:sub>
                        </m:sSub>
                      </m:sup>
                    </m:sSup>
                  </m:oMath>
                </w:p>
              </w:tc>
            </w:tr>
            <w:tr>
              <w:tc>
                <w:tcPr/>
                <w:p>
                  <w:pPr>
                    <w:pStyle w:val="Compact"/>
                    <w:jc w:val="center"/>
                  </w:pPr>
                  <w:r>
                    <w:t xml:space="preserve">Status</w:t>
                  </w:r>
                </w:p>
              </w:tc>
              <w:tc>
                <w:tcPr/>
                <w:p>
                  <w:pPr>
                    <w:pStyle w:val="Compact"/>
                    <w:jc w:val="center"/>
                  </w:pPr>
                  <w:r>
                    <w:t xml:space="preserve">Probability of being in the Kobe green quadrant</w:t>
                  </w:r>
                </w:p>
              </w:tc>
              <w:tc>
                <w:tcPr/>
                <w:p>
                  <w:pPr>
                    <w:pStyle w:val="Compact"/>
                    <w:jc w:val="center"/>
                  </w:pPr>
                  <m:oMath>
                    <m:r>
                      <m:t>P</m:t>
                    </m:r>
                    <m:r>
                      <m:t>G</m:t>
                    </m:r>
                    <m:r>
                      <m:t>K</m:t>
                    </m:r>
                  </m:oMath>
                </w:p>
              </w:tc>
              <w:tc>
                <w:tcPr/>
                <w:p>
                  <w:pPr>
                    <w:pStyle w:val="Compact"/>
                    <w:jc w:val="center"/>
                  </w:pPr>
                  <w:r>
                    <w:t xml:space="preserve">Proportion of years in green quadrant (see</w:t>
                  </w:r>
                  <w:r>
                    <w:t xml:space="preserve"> </w:t>
                  </w:r>
                  <w:hyperlink w:anchor="fig-hcr">
                    <w:r>
                      <w:rPr>
                        <w:rStyle w:val="Hipervnculo"/>
                      </w:rPr>
                      <w:t xml:space="preserve">Figure 10</w:t>
                    </w:r>
                  </w:hyperlink>
                  <w:r>
                    <w:t xml:space="preserve">)</w:t>
                  </w:r>
                </w:p>
              </w:tc>
            </w:tr>
            <w:tr>
              <w:tc>
                <w:tcPr/>
                <w:p>
                  <w:pPr>
                    <w:pStyle w:val="Compact"/>
                    <w:jc w:val="center"/>
                  </w:pPr>
                  <w:r>
                    <w:t xml:space="preserve">Status</w:t>
                  </w:r>
                </w:p>
              </w:tc>
              <w:tc>
                <w:tcPr/>
                <w:p>
                  <w:pPr>
                    <w:pStyle w:val="Compact"/>
                    <w:jc w:val="center"/>
                  </w:pPr>
                  <w:r>
                    <w:t xml:space="preserve">Probability of being in the Kobe red quadrant</w:t>
                  </w:r>
                </w:p>
              </w:tc>
              <w:tc>
                <w:tcPr/>
                <w:p>
                  <w:pPr>
                    <w:pStyle w:val="Compact"/>
                    <w:jc w:val="center"/>
                  </w:pPr>
                  <m:oMath>
                    <m:r>
                      <m:t>P</m:t>
                    </m:r>
                    <m:r>
                      <m:t>R</m:t>
                    </m:r>
                    <m:r>
                      <m:t>K</m:t>
                    </m:r>
                  </m:oMath>
                </w:p>
              </w:tc>
              <w:tc>
                <w:tcPr/>
                <w:p>
                  <w:pPr>
                    <w:pStyle w:val="Compact"/>
                    <w:jc w:val="center"/>
                  </w:pPr>
                  <w:r>
                    <w:t xml:space="preserve">Proportion of years in red quadrant (see</w:t>
                  </w:r>
                  <w:r>
                    <w:t xml:space="preserve"> </w:t>
                  </w:r>
                  <w:hyperlink w:anchor="fig-hcr">
                    <w:r>
                      <w:rPr>
                        <w:rStyle w:val="Hipervnculo"/>
                      </w:rPr>
                      <w:t xml:space="preserve">Figure 10</w:t>
                    </w:r>
                  </w:hyperlink>
                  <w:r>
                    <w:t xml:space="preserve">)</w:t>
                  </w:r>
                </w:p>
              </w:tc>
            </w:tr>
            <w:tr>
              <w:tc>
                <w:tcPr/>
                <w:p>
                  <w:pPr>
                    <w:pStyle w:val="Compact"/>
                    <w:jc w:val="center"/>
                  </w:pPr>
                  <w:r>
                    <w:t xml:space="preserve">Safety</w:t>
                  </w:r>
                </w:p>
              </w:tc>
              <w:tc>
                <w:tcPr/>
                <w:p>
                  <w:pPr>
                    <w:pStyle w:val="Compact"/>
                    <w:jc w:val="center"/>
                  </w:pPr>
                  <w:r>
                    <w:t xml:space="preserve">Probability of</w:t>
                  </w:r>
                  <w:r>
                    <w:t xml:space="preserve"> </w:t>
                  </w:r>
                  <m:oMath>
                    <m:r>
                      <m:t>B</m:t>
                    </m:r>
                    <m:r>
                      <m:rPr>
                        <m:sty m:val="p"/>
                      </m:rPr>
                      <m:t>&gt;</m:t>
                    </m:r>
                    <m:sSub>
                      <m:e>
                        <m:r>
                          <m:t>B</m:t>
                        </m:r>
                      </m:e>
                      <m:sub>
                        <m:r>
                          <m:t>l</m:t>
                        </m:r>
                        <m:r>
                          <m:t>i</m:t>
                        </m:r>
                        <m:r>
                          <m:t>m</m:t>
                        </m:r>
                      </m:sub>
                    </m:sSub>
                  </m:oMath>
                </w:p>
              </w:tc>
              <w:tc>
                <w:tcPr/>
                <w:p>
                  <w:pPr>
                    <w:pStyle w:val="Compact"/>
                    <w:jc w:val="center"/>
                  </w:pPr>
                  <m:oMath>
                    <m:r>
                      <m:t>P</m:t>
                    </m:r>
                    <m:r>
                      <m:t>B</m:t>
                    </m:r>
                    <m:r>
                      <m:t>l</m:t>
                    </m:r>
                    <m:r>
                      <m:t>i</m:t>
                    </m:r>
                    <m:r>
                      <m:t>m</m:t>
                    </m:r>
                  </m:oMath>
                </w:p>
              </w:tc>
              <w:tc>
                <w:tcPr/>
                <w:p>
                  <w:pPr>
                    <w:pStyle w:val="Compact"/>
                    <w:jc w:val="center"/>
                  </w:pPr>
                  <w:r>
                    <w:t xml:space="preserve">Proportion of years that</w:t>
                  </w:r>
                  <w:r>
                    <w:t xml:space="preserve"> </w:t>
                  </w:r>
                  <m:oMath>
                    <m:r>
                      <m:t>B</m:t>
                    </m:r>
                    <m:r>
                      <m:rPr>
                        <m:sty m:val="p"/>
                      </m:rPr>
                      <m:t>&gt;</m:t>
                    </m:r>
                    <m:sSub>
                      <m:e>
                        <m:r>
                          <m:t>B</m:t>
                        </m:r>
                      </m:e>
                      <m:sub>
                        <m:r>
                          <m:t>l</m:t>
                        </m:r>
                        <m:r>
                          <m:t>i</m:t>
                        </m:r>
                        <m:r>
                          <m:t>m</m:t>
                        </m:r>
                      </m:sub>
                    </m:sSub>
                  </m:oMath>
                </w:p>
              </w:tc>
            </w:tr>
            <w:tr>
              <w:tc>
                <w:tcPr/>
                <w:p>
                  <w:pPr>
                    <w:pStyle w:val="Compact"/>
                    <w:jc w:val="center"/>
                  </w:pPr>
                  <w:r>
                    <w:t xml:space="preserve">Safety</w:t>
                  </w:r>
                </w:p>
              </w:tc>
              <w:tc>
                <w:tcPr/>
                <w:p>
                  <w:pPr>
                    <w:pStyle w:val="Compact"/>
                    <w:jc w:val="center"/>
                  </w:pPr>
                  <w:r>
                    <w:t xml:space="preserve">Probability of</w:t>
                  </w:r>
                  <w:r>
                    <w:t xml:space="preserve"> </w:t>
                  </w:r>
                  <m:oMath>
                    <m:sSub>
                      <m:e>
                        <m:r>
                          <m:t>B</m:t>
                        </m:r>
                      </m:e>
                      <m:sub>
                        <m:r>
                          <m:t>l</m:t>
                        </m:r>
                        <m:r>
                          <m:t>i</m:t>
                        </m:r>
                        <m:r>
                          <m:t>m</m:t>
                        </m:r>
                      </m:sub>
                    </m:sSub>
                    <m:r>
                      <m:rPr>
                        <m:sty m:val="p"/>
                      </m:rPr>
                      <m:t>&lt;</m:t>
                    </m:r>
                    <m:r>
                      <m:t>B</m:t>
                    </m:r>
                    <m:r>
                      <m:rPr>
                        <m:sty m:val="p"/>
                      </m:rPr>
                      <m:t>&lt;</m:t>
                    </m:r>
                    <m:sSub>
                      <m:e>
                        <m:r>
                          <m:t>B</m:t>
                        </m:r>
                      </m:e>
                      <m:sub>
                        <m:r>
                          <m:t>m</m:t>
                        </m:r>
                        <m:r>
                          <m:t>s</m:t>
                        </m:r>
                        <m:r>
                          <m:t>y</m:t>
                        </m:r>
                      </m:sub>
                    </m:sSub>
                  </m:oMath>
                </w:p>
              </w:tc>
              <w:tc>
                <w:tcPr/>
                <w:p>
                  <w:pPr>
                    <w:pStyle w:val="Compact"/>
                    <w:jc w:val="center"/>
                  </w:pPr>
                  <m:oMath>
                    <m:r>
                      <m:t>P</m:t>
                    </m:r>
                    <m:r>
                      <m:t>B</m:t>
                    </m:r>
                    <m:r>
                      <m:t>m</m:t>
                    </m:r>
                    <m:r>
                      <m:t>s</m:t>
                    </m:r>
                    <m:r>
                      <m:t>y</m:t>
                    </m:r>
                  </m:oMath>
                </w:p>
              </w:tc>
              <w:tc>
                <w:tcPr/>
                <w:p>
                  <w:pPr>
                    <w:pStyle w:val="Compact"/>
                    <w:jc w:val="center"/>
                  </w:pPr>
                  <w:r>
                    <w:t xml:space="preserve">Proportion of years that</w:t>
                  </w:r>
                  <w:r>
                    <w:t xml:space="preserve"> </w:t>
                  </w:r>
                  <m:oMath>
                    <m:sSub>
                      <m:e>
                        <m:r>
                          <m:t>B</m:t>
                        </m:r>
                      </m:e>
                      <m:sub>
                        <m:r>
                          <m:t>l</m:t>
                        </m:r>
                        <m:r>
                          <m:t>i</m:t>
                        </m:r>
                        <m:r>
                          <m:t>m</m:t>
                        </m:r>
                      </m:sub>
                    </m:sSub>
                    <m:r>
                      <m:rPr>
                        <m:sty m:val="p"/>
                      </m:rPr>
                      <m:t>&lt;</m:t>
                    </m:r>
                    <m:r>
                      <m:t>B</m:t>
                    </m:r>
                    <m:r>
                      <m:rPr>
                        <m:sty m:val="p"/>
                      </m:rPr>
                      <m:t>&lt;</m:t>
                    </m:r>
                    <m:sSub>
                      <m:e>
                        <m:r>
                          <m:t>B</m:t>
                        </m:r>
                      </m:e>
                      <m:sub>
                        <m:r>
                          <m:t>m</m:t>
                        </m:r>
                        <m:r>
                          <m:t>s</m:t>
                        </m:r>
                        <m:r>
                          <m:t>y</m:t>
                        </m:r>
                      </m:sub>
                    </m:sSub>
                  </m:oMath>
                </w:p>
              </w:tc>
            </w:tr>
            <w:tr>
              <w:tc>
                <w:tcPr/>
                <w:p>
                  <w:pPr>
                    <w:pStyle w:val="Compact"/>
                    <w:jc w:val="center"/>
                  </w:pPr>
                  <w:r>
                    <w:t xml:space="preserve">Yield</w:t>
                  </w:r>
                </w:p>
              </w:tc>
              <w:tc>
                <w:tcPr/>
                <w:p>
                  <w:pPr>
                    <w:pStyle w:val="Compact"/>
                    <w:jc w:val="center"/>
                  </w:pPr>
                  <w:r>
                    <w:t xml:space="preserve">Mean catch (short term)</w:t>
                  </w:r>
                </w:p>
              </w:tc>
              <w:tc>
                <w:tcPr/>
                <w:p>
                  <w:pPr>
                    <w:pStyle w:val="Compact"/>
                    <w:jc w:val="center"/>
                  </w:pPr>
                  <m:oMath>
                    <m:r>
                      <m:t>C</m:t>
                    </m:r>
                    <m:r>
                      <m:t>s</m:t>
                    </m:r>
                    <m:r>
                      <m:t>t</m:t>
                    </m:r>
                    <m:r>
                      <m:t>r</m:t>
                    </m:r>
                  </m:oMath>
                </w:p>
              </w:tc>
              <w:tc>
                <w:tcPr/>
                <w:p>
                  <w:pPr>
                    <w:pStyle w:val="Compact"/>
                    <w:jc w:val="center"/>
                  </w:pPr>
                  <w:r>
                    <w:t xml:space="preserve">Mean catch from 1 to 3 years</w:t>
                  </w:r>
                </w:p>
              </w:tc>
            </w:tr>
            <w:tr>
              <w:tc>
                <w:tcPr/>
                <w:p>
                  <w:pPr>
                    <w:pStyle w:val="Compact"/>
                    <w:jc w:val="center"/>
                  </w:pPr>
                  <w:r>
                    <w:t xml:space="preserve">Yield</w:t>
                  </w:r>
                </w:p>
              </w:tc>
              <w:tc>
                <w:tcPr/>
                <w:p>
                  <w:pPr>
                    <w:pStyle w:val="Compact"/>
                    <w:jc w:val="center"/>
                  </w:pPr>
                  <w:r>
                    <w:t xml:space="preserve">Mean catch (medium term)</w:t>
                  </w:r>
                </w:p>
              </w:tc>
              <w:tc>
                <w:tcPr/>
                <w:p>
                  <w:pPr>
                    <w:pStyle w:val="Compact"/>
                    <w:jc w:val="center"/>
                  </w:pPr>
                  <m:oMath>
                    <m:r>
                      <m:t>C</m:t>
                    </m:r>
                    <m:r>
                      <m:t>m</m:t>
                    </m:r>
                    <m:r>
                      <m:t>e</m:t>
                    </m:r>
                    <m:r>
                      <m:t>d</m:t>
                    </m:r>
                  </m:oMath>
                </w:p>
              </w:tc>
              <w:tc>
                <w:tcPr/>
                <w:p>
                  <w:pPr>
                    <w:pStyle w:val="Compact"/>
                    <w:jc w:val="center"/>
                  </w:pPr>
                  <w:r>
                    <w:t xml:space="preserve">Mean catch from 5 to 10 years</w:t>
                  </w:r>
                </w:p>
              </w:tc>
            </w:tr>
            <w:tr>
              <w:tc>
                <w:tcPr/>
                <w:p>
                  <w:pPr>
                    <w:pStyle w:val="Compact"/>
                    <w:jc w:val="center"/>
                  </w:pPr>
                  <w:r>
                    <w:t xml:space="preserve">Yield</w:t>
                  </w:r>
                </w:p>
              </w:tc>
              <w:tc>
                <w:tcPr/>
                <w:p>
                  <w:pPr>
                    <w:pStyle w:val="Compact"/>
                    <w:jc w:val="center"/>
                  </w:pPr>
                  <w:r>
                    <w:t xml:space="preserve">Mean catch (long term)</w:t>
                  </w:r>
                </w:p>
              </w:tc>
              <w:tc>
                <w:tcPr/>
                <w:p>
                  <w:pPr>
                    <w:pStyle w:val="Compact"/>
                    <w:jc w:val="center"/>
                  </w:pPr>
                  <m:oMath>
                    <m:r>
                      <m:t>C</m:t>
                    </m:r>
                    <m:r>
                      <m:t>l</m:t>
                    </m:r>
                    <m:r>
                      <m:t>o</m:t>
                    </m:r>
                    <m:r>
                      <m:t>n</m:t>
                    </m:r>
                  </m:oMath>
                </w:p>
              </w:tc>
              <w:tc>
                <w:tcPr/>
                <w:p>
                  <w:pPr>
                    <w:pStyle w:val="Compact"/>
                    <w:jc w:val="center"/>
                  </w:pPr>
                  <w:r>
                    <w:t xml:space="preserve">Mean catch from 15 to 25 years</w:t>
                  </w:r>
                </w:p>
              </w:tc>
            </w:tr>
            <w:tr>
              <w:tc>
                <w:tcPr/>
                <w:p>
                  <w:pPr>
                    <w:pStyle w:val="Compact"/>
                    <w:jc w:val="center"/>
                  </w:pPr>
                  <w:r>
                    <w:t xml:space="preserve">Stability</w:t>
                  </w:r>
                </w:p>
              </w:tc>
              <w:tc>
                <w:tcPr/>
                <w:p>
                  <w:pPr>
                    <w:pStyle w:val="Compact"/>
                    <w:jc w:val="center"/>
                  </w:pPr>
                  <w:r>
                    <w:t xml:space="preserve">Mean absolute proportional change (%) in catch</w:t>
                  </w:r>
                </w:p>
              </w:tc>
              <w:tc>
                <w:tcPr/>
                <w:p>
                  <w:pPr>
                    <w:pStyle w:val="Compact"/>
                    <w:jc w:val="center"/>
                  </w:pPr>
                  <m:oMath>
                    <m:r>
                      <m:t>C</m:t>
                    </m:r>
                    <m:r>
                      <m:t>c</m:t>
                    </m:r>
                  </m:oMath>
                </w:p>
              </w:tc>
              <w:tc>
                <w:tcPr/>
                <w:p>
                  <w:pPr>
                    <w:pStyle w:val="Compact"/>
                    <w:jc w:val="center"/>
                  </w:pPr>
                  <w:r>
                    <w:t xml:space="preserve">Mean of</w:t>
                  </w:r>
                  <w:r>
                    <w:t xml:space="preserve"> </w:t>
                  </w:r>
                  <m:oMath>
                    <m:r>
                      <m:rPr>
                        <m:sty m:val="p"/>
                      </m:rPr>
                      <m:t>∣</m:t>
                    </m:r>
                    <m:f>
                      <m:fPr>
                        <m:type m:val="bar"/>
                      </m:fPr>
                      <m:num>
                        <m:sSub>
                          <m:e>
                            <m:r>
                              <m:t>C</m:t>
                            </m:r>
                          </m:e>
                          <m:sub>
                            <m:r>
                              <m:t>y</m:t>
                            </m:r>
                          </m:sub>
                        </m:sSub>
                        <m:r>
                          <m:rPr>
                            <m:sty m:val="p"/>
                          </m:rPr>
                          <m:t>−</m:t>
                        </m:r>
                        <m:sSub>
                          <m:e>
                            <m:r>
                              <m:t>C</m:t>
                            </m:r>
                          </m:e>
                          <m:sub>
                            <m:r>
                              <m:t>y</m:t>
                            </m:r>
                            <m:r>
                              <m:rPr>
                                <m:sty m:val="p"/>
                              </m:rPr>
                              <m:t>−</m:t>
                            </m:r>
                            <m:r>
                              <m:t>1</m:t>
                            </m:r>
                          </m:sub>
                        </m:sSub>
                      </m:num>
                      <m:den>
                        <m:sSub>
                          <m:e>
                            <m:r>
                              <m:t>C</m:t>
                            </m:r>
                          </m:e>
                          <m:sub>
                            <m:r>
                              <m:t>y</m:t>
                            </m:r>
                            <m:r>
                              <m:rPr>
                                <m:sty m:val="p"/>
                              </m:rPr>
                              <m:t>−</m:t>
                            </m:r>
                            <m:r>
                              <m:t>1</m:t>
                            </m:r>
                          </m:sub>
                        </m:sSub>
                      </m:den>
                    </m:f>
                    <m:r>
                      <m:rPr>
                        <m:sty m:val="p"/>
                      </m:rPr>
                      <m:t>∣</m:t>
                    </m:r>
                  </m:oMath>
                </w:p>
              </w:tc>
            </w:tr>
            <w:tr>
              <w:tc>
                <w:tcPr/>
                <w:p>
                  <w:pPr>
                    <w:pStyle w:val="Compact"/>
                    <w:jc w:val="center"/>
                  </w:pPr>
                  <w:r>
                    <w:t xml:space="preserve">Stability</w:t>
                  </w:r>
                </w:p>
              </w:tc>
              <w:tc>
                <w:tcPr/>
                <w:p>
                  <w:pPr>
                    <w:pStyle w:val="Compact"/>
                    <w:jc w:val="center"/>
                  </w:pPr>
                  <w:r>
                    <w:t xml:space="preserve">Standard deviation in catch</w:t>
                  </w:r>
                </w:p>
              </w:tc>
              <w:tc>
                <w:tcPr/>
                <w:p>
                  <w:pPr>
                    <w:pStyle w:val="Compact"/>
                    <w:jc w:val="center"/>
                  </w:pPr>
                  <m:oMath>
                    <m:r>
                      <m:t>C</m:t>
                    </m:r>
                    <m:r>
                      <m:t>s</m:t>
                    </m:r>
                    <m:r>
                      <m:t>d</m:t>
                    </m:r>
                  </m:oMath>
                </w:p>
              </w:tc>
              <w:tc>
                <w:tcPr/>
                <w:p>
                  <w:pPr>
                    <w:pStyle w:val="Compact"/>
                    <w:jc w:val="center"/>
                  </w:pPr>
                  <w:r>
                    <w:t xml:space="preserve">Catch standard deviation</w:t>
                  </w:r>
                </w:p>
              </w:tc>
            </w:tr>
            <w:tr>
              <w:tc>
                <w:tcPr/>
                <w:p>
                  <w:pPr>
                    <w:pStyle w:val="Compact"/>
                    <w:jc w:val="center"/>
                  </w:pPr>
                  <w:r>
                    <w:t xml:space="preserve">Stability</w:t>
                  </w:r>
                </w:p>
              </w:tc>
              <w:tc>
                <w:tcPr/>
                <w:p>
                  <w:pPr>
                    <w:pStyle w:val="Compact"/>
                    <w:jc w:val="center"/>
                  </w:pPr>
                  <w:r>
                    <w:t xml:space="preserve">Probability of shutdown</w:t>
                  </w:r>
                </w:p>
              </w:tc>
              <w:tc>
                <w:tcPr/>
                <w:p>
                  <w:pPr>
                    <w:pStyle w:val="Compact"/>
                    <w:jc w:val="center"/>
                  </w:pPr>
                  <m:oMath>
                    <m:r>
                      <m:t>P</m:t>
                    </m:r>
                    <m:r>
                      <m:t>S</m:t>
                    </m:r>
                    <m:r>
                      <m:t>h</m:t>
                    </m:r>
                    <m:r>
                      <m:t>w</m:t>
                    </m:r>
                  </m:oMath>
                </w:p>
              </w:tc>
              <w:tc>
                <w:tcPr/>
                <w:p>
                  <w:pPr>
                    <w:pStyle w:val="Compact"/>
                    <w:jc w:val="center"/>
                  </w:pPr>
                  <w:r>
                    <w:t xml:space="preserve">Proportion of management periods that TAC=0</w:t>
                  </w:r>
                </w:p>
              </w:tc>
            </w:tr>
            <w:tr>
              <w:tc>
                <w:tcPr/>
                <w:p>
                  <w:pPr>
                    <w:pStyle w:val="Compact"/>
                    <w:jc w:val="center"/>
                  </w:pPr>
                  <w:r>
                    <w:t xml:space="preserve">Stability</w:t>
                  </w:r>
                </w:p>
              </w:tc>
              <w:tc>
                <w:tcPr/>
                <w:p>
                  <w:pPr>
                    <w:pStyle w:val="Compact"/>
                    <w:jc w:val="center"/>
                  </w:pPr>
                  <w:r>
                    <w:t xml:space="preserve">Probability of TAC change above 10%</w:t>
                  </w:r>
                </w:p>
              </w:tc>
              <w:tc>
                <w:tcPr/>
                <w:p>
                  <w:pPr>
                    <w:pStyle w:val="Compact"/>
                    <w:jc w:val="center"/>
                  </w:pPr>
                  <m:oMath>
                    <m:r>
                      <m:t>P</m:t>
                    </m:r>
                    <m:r>
                      <m:t>T</m:t>
                    </m:r>
                    <m:r>
                      <m:t>c</m:t>
                    </m:r>
                    <m:r>
                      <m:t>x</m:t>
                    </m:r>
                  </m:oMath>
                </w:p>
              </w:tc>
              <w:tc>
                <w:tcPr/>
                <w:p>
                  <w:pPr>
                    <w:pStyle w:val="Compact"/>
                    <w:jc w:val="center"/>
                  </w:pPr>
                  <w:r>
                    <w:t xml:space="preserve">Proportion of management cycles when the ratio of change</w:t>
                  </w:r>
                  <w:r>
                    <w:t xml:space="preserve"> </w:t>
                  </w:r>
                  <m:oMath>
                    <m:f>
                      <m:fPr>
                        <m:type m:val="bar"/>
                      </m:fPr>
                      <m:num>
                        <m:r>
                          <m:t>T</m:t>
                        </m:r>
                        <m:r>
                          <m:t>A</m:t>
                        </m:r>
                        <m:sSub>
                          <m:e>
                            <m:r>
                              <m:t>C</m:t>
                            </m:r>
                          </m:e>
                          <m:sub>
                            <m:r>
                              <m:t>t</m:t>
                            </m:r>
                            <m:r>
                              <m:rPr>
                                <m:sty m:val="p"/>
                              </m:rPr>
                              <m:t>+</m:t>
                            </m:r>
                            <m:r>
                              <m:t>1</m:t>
                            </m:r>
                          </m:sub>
                        </m:sSub>
                        <m:r>
                          <m:rPr>
                            <m:sty m:val="p"/>
                          </m:rPr>
                          <m:t>−</m:t>
                        </m:r>
                        <m:r>
                          <m:t>T</m:t>
                        </m:r>
                        <m:r>
                          <m:t>A</m:t>
                        </m:r>
                        <m:sSub>
                          <m:e>
                            <m:r>
                              <m:t>C</m:t>
                            </m:r>
                          </m:e>
                          <m:sub>
                            <m:r>
                              <m:t>t</m:t>
                            </m:r>
                          </m:sub>
                        </m:sSub>
                      </m:num>
                      <m:den>
                        <m:r>
                          <m:t>T</m:t>
                        </m:r>
                        <m:r>
                          <m:t>A</m:t>
                        </m:r>
                        <m:sSub>
                          <m:e>
                            <m:r>
                              <m:t>C</m:t>
                            </m:r>
                          </m:e>
                          <m:sub>
                            <m:r>
                              <m:t>t</m:t>
                            </m:r>
                          </m:sub>
                        </m:sSub>
                      </m:den>
                    </m:f>
                    <m:r>
                      <m:rPr>
                        <m:sty m:val="p"/>
                      </m:rPr>
                      <m:t>&gt;</m:t>
                    </m:r>
                    <m:r>
                      <m:t>10</m:t>
                    </m:r>
                    <m:r>
                      <m:rPr>
                        <m:sty m:val="p"/>
                      </m:rPr>
                      <m:t>%</m:t>
                    </m:r>
                  </m:oMath>
                </w:p>
              </w:tc>
            </w:tr>
            <w:tr>
              <w:tc>
                <w:tcPr/>
                <w:p>
                  <w:pPr>
                    <w:pStyle w:val="Compact"/>
                    <w:jc w:val="center"/>
                  </w:pPr>
                  <w:r>
                    <w:t xml:space="preserve">Stability</w:t>
                  </w:r>
                </w:p>
              </w:tc>
              <w:tc>
                <w:tcPr/>
                <w:p>
                  <w:pPr>
                    <w:pStyle w:val="Compact"/>
                    <w:jc w:val="center"/>
                  </w:pPr>
                  <w:r>
                    <w:t xml:space="preserve">Maximum amount of TAC change between management periods</w:t>
                  </w:r>
                </w:p>
              </w:tc>
              <w:tc>
                <w:tcPr/>
                <w:p>
                  <w:pPr>
                    <w:pStyle w:val="Compact"/>
                    <w:jc w:val="center"/>
                  </w:pPr>
                  <m:oMath>
                    <m:r>
                      <m:t>T</m:t>
                    </m:r>
                    <m:r>
                      <m:t>c</m:t>
                    </m:r>
                    <m:r>
                      <m:t>m</m:t>
                    </m:r>
                    <m:r>
                      <m:t>a</m:t>
                    </m:r>
                    <m:r>
                      <m:t>x</m:t>
                    </m:r>
                  </m:oMath>
                </w:p>
              </w:tc>
              <w:tc>
                <w:tcPr/>
                <w:p>
                  <w:pPr>
                    <w:pStyle w:val="Compact"/>
                    <w:jc w:val="center"/>
                  </w:pPr>
                  <w:r>
                    <w:t xml:space="preserve">Maximum ratio of TAC change</w:t>
                  </w:r>
                </w:p>
              </w:tc>
            </w:tr>
          </w:tbl>
          <w:bookmarkEnd w:id="104"/>
          <w:p/>
        </w:tc>
      </w:tr>
    </w:tbl>
    <w:bookmarkStart w:id="125" w:name="examples"/>
    <w:p>
      <w:pPr>
        <w:pStyle w:val="Ttulo2"/>
      </w:pPr>
      <w:r>
        <w:t xml:space="preserve">Examples</w:t>
      </w:r>
    </w:p>
    <w:bookmarkStart w:id="109" w:name="status"/>
    <w:p>
      <w:pPr>
        <w:pStyle w:val="Ttulo3"/>
      </w:pPr>
      <w:r>
        <w:t xml:space="preserve">Status</w:t>
      </w:r>
    </w:p>
    <w:tbl>
      <w:tblPr>
        <w:tblStyle w:val="Table"/>
        <w:tblW w:type="pct" w:w="5000"/>
        <w:tblLayout w:type="fixed"/>
        <w:tblLook w:firstRow="0" w:lastRow="0" w:firstColumn="0" w:lastColumn="0" w:noHBand="0" w:noVBand="0" w:val="0000"/>
      </w:tblPr>
      <w:tblGrid>
        <w:gridCol w:w="7920"/>
      </w:tblGrid>
      <w:tr>
        <w:tc>
          <w:tcPr/>
          <w:bookmarkStart w:id="108" w:name="fig-pm-status"/>
          <w:p>
            <w:pPr>
              <w:pStyle w:val="Compact"/>
              <w:jc w:val="center"/>
            </w:pPr>
            <w:r>
              <w:drawing>
                <wp:inline>
                  <wp:extent cx="5943600" cy="4196353"/>
                  <wp:effectExtent b="0" l="0" r="0" t="0"/>
                  <wp:docPr descr="" title="" id="106" name="Picture"/>
                  <a:graphic>
                    <a:graphicData uri="http://schemas.openxmlformats.org/drawingml/2006/picture">
                      <pic:pic>
                        <pic:nvPicPr>
                          <pic:cNvPr descr="../figures/status_ex.png" id="107" name="Picture"/>
                          <pic:cNvPicPr>
                            <a:picLocks noChangeArrowheads="1" noChangeAspect="1"/>
                          </pic:cNvPicPr>
                        </pic:nvPicPr>
                        <pic:blipFill>
                          <a:blip r:embed="rId105"/>
                          <a:stretch>
                            <a:fillRect/>
                          </a:stretch>
                        </pic:blipFill>
                        <pic:spPr bwMode="auto">
                          <a:xfrm>
                            <a:off x="0" y="0"/>
                            <a:ext cx="5943600" cy="4196353"/>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Status performance indicators. The blue dots or lines indicate the meaning of the metric. Find more details in</w:t>
            </w:r>
            <w:r>
              <w:t xml:space="preserve"> </w:t>
            </w:r>
            <w:hyperlink w:anchor="tbl-pm">
              <w:r>
                <w:rPr>
                  <w:rStyle w:val="Hipervnculo"/>
                </w:rPr>
                <w:t xml:space="preserve">Table 3</w:t>
              </w:r>
            </w:hyperlink>
            <w:r>
              <w:t xml:space="preserve">.</w:t>
            </w:r>
          </w:p>
          <w:bookmarkEnd w:id="108"/>
        </w:tc>
      </w:tr>
    </w:tbl>
    <w:bookmarkEnd w:id="109"/>
    <w:bookmarkStart w:id="114" w:name="safety"/>
    <w:p>
      <w:pPr>
        <w:pStyle w:val="Ttulo3"/>
      </w:pPr>
      <w:r>
        <w:t xml:space="preserve">Safety</w:t>
      </w:r>
    </w:p>
    <w:tbl>
      <w:tblPr>
        <w:tblStyle w:val="Table"/>
        <w:tblW w:type="pct" w:w="5000"/>
        <w:tblLayout w:type="fixed"/>
        <w:tblLook w:firstRow="0" w:lastRow="0" w:firstColumn="0" w:lastColumn="0" w:noHBand="0" w:noVBand="0" w:val="0000"/>
      </w:tblPr>
      <w:tblGrid>
        <w:gridCol w:w="7920"/>
      </w:tblGrid>
      <w:tr>
        <w:tc>
          <w:tcPr/>
          <w:bookmarkStart w:id="113" w:name="fig-pm-safety"/>
          <w:p>
            <w:pPr>
              <w:pStyle w:val="Compact"/>
              <w:jc w:val="center"/>
            </w:pPr>
            <w:r>
              <w:drawing>
                <wp:inline>
                  <wp:extent cx="5055194" cy="2165201"/>
                  <wp:effectExtent b="0" l="0" r="0" t="0"/>
                  <wp:docPr descr="" title="" id="111" name="Picture"/>
                  <a:graphic>
                    <a:graphicData uri="http://schemas.openxmlformats.org/drawingml/2006/picture">
                      <pic:pic>
                        <pic:nvPicPr>
                          <pic:cNvPr descr="../figures/safety_ex.png" id="112" name="Picture"/>
                          <pic:cNvPicPr>
                            <a:picLocks noChangeArrowheads="1" noChangeAspect="1"/>
                          </pic:cNvPicPr>
                        </pic:nvPicPr>
                        <pic:blipFill>
                          <a:blip r:embed="rId110"/>
                          <a:stretch>
                            <a:fillRect/>
                          </a:stretch>
                        </pic:blipFill>
                        <pic:spPr bwMode="auto">
                          <a:xfrm>
                            <a:off x="0" y="0"/>
                            <a:ext cx="5055194" cy="21652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Safety performance indicators. The blue dots indicate the meaning of the metric. Find more details in</w:t>
            </w:r>
            <w:r>
              <w:t xml:space="preserve"> </w:t>
            </w:r>
            <w:hyperlink w:anchor="tbl-pm">
              <w:r>
                <w:rPr>
                  <w:rStyle w:val="Hipervnculo"/>
                </w:rPr>
                <w:t xml:space="preserve">Table 3</w:t>
              </w:r>
            </w:hyperlink>
            <w:r>
              <w:t xml:space="preserve">.</w:t>
            </w:r>
          </w:p>
          <w:bookmarkEnd w:id="113"/>
        </w:tc>
      </w:tr>
    </w:tbl>
    <w:bookmarkEnd w:id="114"/>
    <w:bookmarkStart w:id="119" w:name="yield"/>
    <w:p>
      <w:pPr>
        <w:pStyle w:val="Ttulo3"/>
      </w:pPr>
      <w:r>
        <w:t xml:space="preserve">Yield</w:t>
      </w:r>
    </w:p>
    <w:tbl>
      <w:tblPr>
        <w:tblStyle w:val="Table"/>
        <w:tblW w:type="pct" w:w="5000"/>
        <w:tblLayout w:type="fixed"/>
        <w:tblLook w:firstRow="0" w:lastRow="0" w:firstColumn="0" w:lastColumn="0" w:noHBand="0" w:noVBand="0" w:val="0000"/>
      </w:tblPr>
      <w:tblGrid>
        <w:gridCol w:w="7920"/>
      </w:tblGrid>
      <w:tr>
        <w:tc>
          <w:tcPr/>
          <w:bookmarkStart w:id="118" w:name="fig-pm-yield"/>
          <w:p>
            <w:pPr>
              <w:pStyle w:val="Compact"/>
              <w:jc w:val="center"/>
            </w:pPr>
            <w:r>
              <w:drawing>
                <wp:inline>
                  <wp:extent cx="5943600" cy="2096695"/>
                  <wp:effectExtent b="0" l="0" r="0" t="0"/>
                  <wp:docPr descr="" title="" id="116" name="Picture"/>
                  <a:graphic>
                    <a:graphicData uri="http://schemas.openxmlformats.org/drawingml/2006/picture">
                      <pic:pic>
                        <pic:nvPicPr>
                          <pic:cNvPr descr="../figures/yield_ex.png" id="117" name="Picture"/>
                          <pic:cNvPicPr>
                            <a:picLocks noChangeArrowheads="1" noChangeAspect="1"/>
                          </pic:cNvPicPr>
                        </pic:nvPicPr>
                        <pic:blipFill>
                          <a:blip r:embed="rId115"/>
                          <a:stretch>
                            <a:fillRect/>
                          </a:stretch>
                        </pic:blipFill>
                        <pic:spPr bwMode="auto">
                          <a:xfrm>
                            <a:off x="0" y="0"/>
                            <a:ext cx="5943600" cy="2096695"/>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Yield performance indicators. The blue lines indicate the meaning of the metric. Find more details in</w:t>
            </w:r>
            <w:r>
              <w:t xml:space="preserve"> </w:t>
            </w:r>
            <w:hyperlink w:anchor="tbl-pm">
              <w:r>
                <w:rPr>
                  <w:rStyle w:val="Hipervnculo"/>
                </w:rPr>
                <w:t xml:space="preserve">Table 3</w:t>
              </w:r>
            </w:hyperlink>
            <w:r>
              <w:t xml:space="preserve">.</w:t>
            </w:r>
          </w:p>
          <w:bookmarkEnd w:id="118"/>
        </w:tc>
      </w:tr>
    </w:tbl>
    <w:bookmarkEnd w:id="119"/>
    <w:bookmarkStart w:id="124" w:name="stability"/>
    <w:p>
      <w:pPr>
        <w:pStyle w:val="Ttulo3"/>
      </w:pPr>
      <w:r>
        <w:t xml:space="preserve">Stability</w:t>
      </w:r>
    </w:p>
    <w:tbl>
      <w:tblPr>
        <w:tblStyle w:val="Table"/>
        <w:tblW w:type="pct" w:w="5000"/>
        <w:tblLayout w:type="fixed"/>
        <w:tblLook w:firstRow="0" w:lastRow="0" w:firstColumn="0" w:lastColumn="0" w:noHBand="0" w:noVBand="0" w:val="0000"/>
      </w:tblPr>
      <w:tblGrid>
        <w:gridCol w:w="7920"/>
      </w:tblGrid>
      <w:tr>
        <w:tc>
          <w:tcPr/>
          <w:bookmarkStart w:id="123" w:name="fig-pm-stability"/>
          <w:p>
            <w:pPr>
              <w:pStyle w:val="Compact"/>
              <w:jc w:val="center"/>
            </w:pPr>
            <w:r>
              <w:drawing>
                <wp:inline>
                  <wp:extent cx="5943600" cy="4196353"/>
                  <wp:effectExtent b="0" l="0" r="0" t="0"/>
                  <wp:docPr descr="" title="" id="121" name="Picture"/>
                  <a:graphic>
                    <a:graphicData uri="http://schemas.openxmlformats.org/drawingml/2006/picture">
                      <pic:pic>
                        <pic:nvPicPr>
                          <pic:cNvPr descr="../figures/stability_ex.png" id="122" name="Picture"/>
                          <pic:cNvPicPr>
                            <a:picLocks noChangeArrowheads="1" noChangeAspect="1"/>
                          </pic:cNvPicPr>
                        </pic:nvPicPr>
                        <pic:blipFill>
                          <a:blip r:embed="rId120"/>
                          <a:stretch>
                            <a:fillRect/>
                          </a:stretch>
                        </pic:blipFill>
                        <pic:spPr bwMode="auto">
                          <a:xfrm>
                            <a:off x="0" y="0"/>
                            <a:ext cx="5943600" cy="4196353"/>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Stability performance indicators. The blue lines, arrows, or dots indicate the meaning of the metric. Find more details in</w:t>
            </w:r>
            <w:r>
              <w:t xml:space="preserve"> </w:t>
            </w:r>
            <w:hyperlink w:anchor="tbl-pm">
              <w:r>
                <w:rPr>
                  <w:rStyle w:val="Hipervnculo"/>
                </w:rPr>
                <w:t xml:space="preserve">Table 3</w:t>
              </w:r>
            </w:hyperlink>
            <w:r>
              <w:t xml:space="preserve">.</w:t>
            </w:r>
          </w:p>
          <w:bookmarkEnd w:id="123"/>
        </w:tc>
      </w:tr>
    </w:tbl>
    <w:bookmarkEnd w:id="124"/>
    <w:bookmarkEnd w:id="125"/>
    <w:bookmarkEnd w:id="126"/>
    <w:bookmarkStart w:id="130" w:name="acknowledgments"/>
    <w:p>
      <w:pPr>
        <w:pStyle w:val="Ttulo1"/>
      </w:pPr>
      <w:r>
        <w:t xml:space="preserve">Acknowledgments</w:t>
      </w:r>
    </w:p>
    <w:p>
      <w:pPr>
        <w:pStyle w:val="FirstParagraph"/>
      </w:pPr>
      <w:r>
        <w:t xml:space="preserve">This work was carried out under the provision of the ICCAT. The contents of this document do not necessarily reflect the point of view of ICCAT, which has no responsibility over them, and in no ways anticipate the Commission’s future policy in this area.</w:t>
      </w:r>
      <w:r>
        <w:t xml:space="preserve"> </w:t>
      </w:r>
      <w:r>
        <w:t xml:space="preserve">This work was carried out under the provision of the ICCAT Science Envelope and the ICCAT - EU Grant Agreement no. 101133230 - Strengthening the scientific basis for decision-making in ICCAT.”</w:t>
      </w:r>
    </w:p>
    <w:p>
      <w:pPr>
        <w:pStyle w:val="Textoindependiente"/>
      </w:pPr>
      <w:r>
        <w:drawing>
          <wp:inline>
            <wp:extent cx="2971800" cy="984685"/>
            <wp:effectExtent b="0" l="0" r="0" t="0"/>
            <wp:docPr descr="" title="" id="128" name="Picture"/>
            <a:graphic>
              <a:graphicData uri="http://schemas.openxmlformats.org/drawingml/2006/picture">
                <pic:pic>
                  <pic:nvPicPr>
                    <pic:cNvPr descr="../figures/eu_logo.jpg" id="129" name="Picture"/>
                    <pic:cNvPicPr>
                      <a:picLocks noChangeArrowheads="1" noChangeAspect="1"/>
                    </pic:cNvPicPr>
                  </pic:nvPicPr>
                  <pic:blipFill>
                    <a:blip r:embed="rId127"/>
                    <a:stretch>
                      <a:fillRect/>
                    </a:stretch>
                  </pic:blipFill>
                  <pic:spPr bwMode="auto">
                    <a:xfrm>
                      <a:off x="0" y="0"/>
                      <a:ext cx="2971800" cy="984685"/>
                    </a:xfrm>
                    <a:prstGeom prst="rect">
                      <a:avLst/>
                    </a:prstGeom>
                    <a:noFill/>
                    <a:ln w="9525">
                      <a:noFill/>
                      <a:headEnd/>
                      <a:tailEnd/>
                    </a:ln>
                  </pic:spPr>
                </pic:pic>
              </a:graphicData>
            </a:graphic>
          </wp:inline>
        </w:drawing>
      </w:r>
    </w:p>
    <w:bookmarkEnd w:id="130"/>
    <w:bookmarkStart w:id="131" w:name="glossary"/>
    <w:p>
      <w:pPr>
        <w:pStyle w:val="Ttulo1"/>
      </w:pPr>
      <w:r>
        <w:t xml:space="preserve">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NALB</w:t>
            </w:r>
          </w:p>
        </w:tc>
        <w:tc>
          <w:tcPr/>
          <w:p>
            <w:pPr>
              <w:pStyle w:val="Compact"/>
            </w:pPr>
            <w:r>
              <w:t xml:space="preserve">North Atlantic Albacore</w:t>
            </w:r>
          </w:p>
        </w:tc>
      </w:tr>
      <w:tr>
        <w:tc>
          <w:tcPr/>
          <w:p>
            <w:pPr>
              <w:pStyle w:val="Compact"/>
            </w:pPr>
            <w:r>
              <w:t xml:space="preserve">OM</w:t>
            </w:r>
          </w:p>
        </w:tc>
        <w:tc>
          <w:tcPr/>
          <w:p>
            <w:pPr>
              <w:pStyle w:val="Compact"/>
            </w:pPr>
            <w:r>
              <w:t xml:space="preserve">Operating model</w:t>
            </w:r>
          </w:p>
        </w:tc>
      </w:tr>
      <w:tr>
        <w:tc>
          <w:tcPr/>
          <w:p>
            <w:pPr>
              <w:pStyle w:val="Compact"/>
            </w:pPr>
            <w:r>
              <w:t xml:space="preserve">CMP</w:t>
            </w:r>
          </w:p>
        </w:tc>
        <w:tc>
          <w:tcPr/>
          <w:p>
            <w:pPr>
              <w:pStyle w:val="Compact"/>
            </w:pPr>
            <w:r>
              <w:t xml:space="preserve">Candidate management procedure</w:t>
            </w:r>
          </w:p>
        </w:tc>
      </w:tr>
      <w:tr>
        <w:tc>
          <w:tcPr/>
          <w:p>
            <w:pPr>
              <w:pStyle w:val="Compact"/>
            </w:pPr>
            <w:r>
              <w:t xml:space="preserve">PM</w:t>
            </w:r>
          </w:p>
        </w:tc>
        <w:tc>
          <w:tcPr/>
          <w:p>
            <w:pPr>
              <w:pStyle w:val="Compact"/>
            </w:pPr>
            <w:r>
              <w:t xml:space="preserve">Performance metric</w:t>
            </w:r>
          </w:p>
        </w:tc>
      </w:tr>
      <w:tr>
        <w:tc>
          <w:tcPr/>
          <w:p>
            <w:pPr>
              <w:pStyle w:val="Compact"/>
            </w:pPr>
            <w:r>
              <w:t xml:space="preserve">ALBSG</w:t>
            </w:r>
          </w:p>
        </w:tc>
        <w:tc>
          <w:tcPr/>
          <w:p>
            <w:pPr>
              <w:pStyle w:val="Compact"/>
            </w:pPr>
            <w:r>
              <w:t xml:space="preserve">Albacore Species Group</w:t>
            </w:r>
          </w:p>
        </w:tc>
      </w:tr>
      <w:tr>
        <w:tc>
          <w:tcPr/>
          <w:p>
            <w:pPr>
              <w:pStyle w:val="Compact"/>
            </w:pPr>
            <w:r>
              <w:t xml:space="preserve">SS3</w:t>
            </w:r>
          </w:p>
        </w:tc>
        <w:tc>
          <w:tcPr/>
          <w:p>
            <w:pPr>
              <w:pStyle w:val="Compact"/>
            </w:pPr>
            <w:r>
              <w:t xml:space="preserve">Stock Synthesis 3 platform</w:t>
            </w:r>
          </w:p>
        </w:tc>
      </w:tr>
      <w:tr>
        <w:tc>
          <w:tcPr/>
          <w:p>
            <w:pPr>
              <w:pStyle w:val="Compact"/>
            </w:pPr>
            <w:r>
              <w:t xml:space="preserve">ESS</w:t>
            </w:r>
          </w:p>
        </w:tc>
        <w:tc>
          <w:tcPr/>
          <w:p>
            <w:pPr>
              <w:pStyle w:val="Compact"/>
            </w:pPr>
            <w:r>
              <w:t xml:space="preserve">Effective sample size</w:t>
            </w:r>
          </w:p>
        </w:tc>
      </w:tr>
      <w:tr>
        <w:tc>
          <w:tcPr/>
          <w:p>
            <w:pPr>
              <w:pStyle w:val="Compact"/>
            </w:pPr>
            <w:r>
              <w:t xml:space="preserve">CAAL</w:t>
            </w:r>
          </w:p>
        </w:tc>
        <w:tc>
          <w:tcPr/>
          <w:p>
            <w:pPr>
              <w:pStyle w:val="Compact"/>
            </w:pPr>
            <w:r>
              <w:t xml:space="preserve">Conditional age-at-length</w:t>
            </w:r>
          </w:p>
        </w:tc>
      </w:tr>
      <w:tr>
        <w:tc>
          <w:tcPr/>
          <w:p>
            <w:pPr>
              <w:pStyle w:val="Compact"/>
            </w:pPr>
            <w:r>
              <w:t xml:space="preserve">M</w:t>
            </w:r>
          </w:p>
        </w:tc>
        <w:tc>
          <w:tcPr/>
          <w:p>
            <w:pPr>
              <w:pStyle w:val="Compact"/>
            </w:pPr>
            <w:r>
              <w:t xml:space="preserve">Natural mortality</w:t>
            </w:r>
          </w:p>
        </w:tc>
      </w:tr>
      <w:tr>
        <w:tc>
          <w:tcPr/>
          <w:p>
            <w:pPr>
              <w:pStyle w:val="Compact"/>
            </w:pPr>
            <w:r>
              <w:t xml:space="preserve">sigmaR</w:t>
            </w:r>
          </w:p>
        </w:tc>
        <w:tc>
          <w:tcPr/>
          <w:p>
            <w:pPr>
              <w:pStyle w:val="Compact"/>
            </w:pPr>
            <w:r>
              <w:t xml:space="preserve">Variability in recruitment</w:t>
            </w:r>
          </w:p>
        </w:tc>
      </w:tr>
      <w:tr>
        <w:tc>
          <w:tcPr/>
          <w:p>
            <w:pPr>
              <w:pStyle w:val="Compact"/>
            </w:pPr>
            <w:r>
              <w:t xml:space="preserve">h</w:t>
            </w:r>
          </w:p>
        </w:tc>
        <w:tc>
          <w:tcPr/>
          <w:p>
            <w:pPr>
              <w:pStyle w:val="Compact"/>
            </w:pPr>
            <w:r>
              <w:t xml:space="preserve">Steepness in the stock-recruit function</w:t>
            </w:r>
          </w:p>
        </w:tc>
      </w:tr>
      <w:tr>
        <w:tc>
          <w:tcPr/>
          <w:p>
            <w:pPr>
              <w:pStyle w:val="Compact"/>
            </w:pPr>
            <w:r>
              <w:t xml:space="preserve">OEM</w:t>
            </w:r>
          </w:p>
        </w:tc>
        <w:tc>
          <w:tcPr/>
          <w:p>
            <w:pPr>
              <w:pStyle w:val="Compact"/>
            </w:pPr>
            <w:r>
              <w:t xml:space="preserve">Observation error model</w:t>
            </w:r>
          </w:p>
        </w:tc>
      </w:tr>
      <w:tr>
        <w:tc>
          <w:tcPr/>
          <w:p>
            <w:pPr>
              <w:pStyle w:val="Compact"/>
            </w:pPr>
            <w:r>
              <w:t xml:space="preserve">HCR</w:t>
            </w:r>
          </w:p>
        </w:tc>
        <w:tc>
          <w:tcPr/>
          <w:p>
            <w:pPr>
              <w:pStyle w:val="Compact"/>
            </w:pPr>
            <w:r>
              <w:t xml:space="preserve">Harvest control rule</w:t>
            </w:r>
          </w:p>
        </w:tc>
      </w:tr>
      <w:tr>
        <w:tc>
          <w:tcPr/>
          <w:p>
            <w:pPr>
              <w:pStyle w:val="Compact"/>
            </w:pPr>
            <w:r>
              <w:t xml:space="preserve">TAC</w:t>
            </w:r>
          </w:p>
        </w:tc>
        <w:tc>
          <w:tcPr/>
          <w:p>
            <w:pPr>
              <w:pStyle w:val="Compact"/>
            </w:pPr>
            <w:r>
              <w:t xml:space="preserve">Total Allowable Catch</w:t>
            </w:r>
          </w:p>
        </w:tc>
      </w:tr>
    </w:tbl>
    <w:bookmarkEnd w:id="131"/>
    <w:bookmarkStart w:id="155" w:name="references"/>
    <w:p>
      <w:pPr>
        <w:pStyle w:val="Ttulo1"/>
      </w:pPr>
      <w:r>
        <w:t xml:space="preserve">References</w:t>
      </w:r>
    </w:p>
    <w:bookmarkStart w:id="154" w:name="refs"/>
    <w:bookmarkStart w:id="133" w:name="X3cd33e6240d606cd5d79b4bfa14a19c0a55bea0"/>
    <w:p>
      <w:pPr>
        <w:pStyle w:val="Bibliografa"/>
      </w:pPr>
      <w:r>
        <w:t xml:space="preserve">Fournier, D.A., Hampton, J., Sibert, J.R., 1998.</w:t>
      </w:r>
      <w:r>
        <w:t xml:space="preserve"> </w:t>
      </w:r>
      <w:r>
        <w:t xml:space="preserve">MULTIFAN-CL</w:t>
      </w:r>
      <w:r>
        <w:t xml:space="preserve">: A length-based, age-structured model for fisheries stock assessment, with application to</w:t>
      </w:r>
      <w:r>
        <w:t xml:space="preserve"> </w:t>
      </w:r>
      <w:r>
        <w:t xml:space="preserve">South Pacific</w:t>
      </w:r>
      <w:r>
        <w:t xml:space="preserve"> </w:t>
      </w:r>
      <w:r>
        <w:t xml:space="preserve">albacore,</w:t>
      </w:r>
      <w:r>
        <w:t xml:space="preserve"> </w:t>
      </w:r>
      <w:r>
        <w:rPr>
          <w:i/>
          <w:iCs/>
        </w:rPr>
        <w:t xml:space="preserve">Thunnus</w:t>
      </w:r>
      <w:r>
        <w:t xml:space="preserve"> </w:t>
      </w:r>
      <w:r>
        <w:rPr>
          <w:i/>
          <w:iCs/>
        </w:rPr>
        <w:t xml:space="preserve">Alalunga</w:t>
      </w:r>
      <w:r>
        <w:t xml:space="preserve">. Canadian Journal of Fisheries and Aquatic Sciences 55, 2105–2116.</w:t>
      </w:r>
      <w:r>
        <w:t xml:space="preserve"> </w:t>
      </w:r>
      <w:hyperlink r:id="rId132">
        <w:r>
          <w:rPr>
            <w:rStyle w:val="Hipervnculo"/>
          </w:rPr>
          <w:t xml:space="preserve">https://doi.org/10.1139/f98-100</w:t>
        </w:r>
      </w:hyperlink>
    </w:p>
    <w:bookmarkEnd w:id="133"/>
    <w:bookmarkStart w:id="135" w:name="ref-francisDataWeightingStatistical2011"/>
    <w:p>
      <w:pPr>
        <w:pStyle w:val="Bibliografa"/>
      </w:pPr>
      <w:r>
        <w:t xml:space="preserve">Francis, R.I.C.C., 2011. Data weighting in statistical fisheries stock assessment models. Canadian Journal of Fisheries and Aquatic Sciences 68, 1124–1138.</w:t>
      </w:r>
      <w:r>
        <w:t xml:space="preserve"> </w:t>
      </w:r>
      <w:hyperlink r:id="rId134">
        <w:r>
          <w:rPr>
            <w:rStyle w:val="Hipervnculo"/>
          </w:rPr>
          <w:t xml:space="preserve">https://doi.org/10.1139/f2011-025</w:t>
        </w:r>
      </w:hyperlink>
    </w:p>
    <w:bookmarkEnd w:id="135"/>
    <w:bookmarkStart w:id="137" w:name="ref-garciaFLBEIASimulationModel2017"/>
    <w:p>
      <w:pPr>
        <w:pStyle w:val="Bibliografa"/>
      </w:pPr>
      <w:r>
        <w:t xml:space="preserve">Garcia, D., Sánchez, S., Prellezo, R., Urtizberea, A., Andrés, M., 2017.</w:t>
      </w:r>
      <w:r>
        <w:t xml:space="preserve"> </w:t>
      </w:r>
      <w:r>
        <w:t xml:space="preserve">FLBEIA</w:t>
      </w:r>
      <w:r>
        <w:t xml:space="preserve">:</w:t>
      </w:r>
      <w:r>
        <w:t xml:space="preserve"> </w:t>
      </w:r>
      <w:r>
        <w:t xml:space="preserve">A</w:t>
      </w:r>
      <w:r>
        <w:t xml:space="preserve"> </w:t>
      </w:r>
      <w:r>
        <w:t xml:space="preserve">simulation model to conduct</w:t>
      </w:r>
      <w:r>
        <w:t xml:space="preserve"> </w:t>
      </w:r>
      <w:r>
        <w:t xml:space="preserve">Bio-Economic</w:t>
      </w:r>
      <w:r>
        <w:t xml:space="preserve"> </w:t>
      </w:r>
      <w:r>
        <w:t xml:space="preserve">evaluation of fisheries management strategies. SoftwareX 6, 141–147.</w:t>
      </w:r>
      <w:r>
        <w:t xml:space="preserve"> </w:t>
      </w:r>
      <w:hyperlink r:id="rId136">
        <w:r>
          <w:rPr>
            <w:rStyle w:val="Hipervnculo"/>
          </w:rPr>
          <w:t xml:space="preserve">https://doi.org/10.1016/j.softx.2017.06.001</w:t>
        </w:r>
      </w:hyperlink>
    </w:p>
    <w:bookmarkEnd w:id="137"/>
    <w:bookmarkStart w:id="139" w:name="X8ec614ca500bb4dd60d1f090925084c623f94f8"/>
    <w:p>
      <w:pPr>
        <w:pStyle w:val="Bibliografa"/>
      </w:pPr>
      <w:r>
        <w:t xml:space="preserve">Hamel, O.S., Cope, J.M., 2022. Development and considerations for application of a longevity-based prior for the natural mortality rate. Fisheries Research 256, 106477.</w:t>
      </w:r>
      <w:r>
        <w:t xml:space="preserve"> </w:t>
      </w:r>
      <w:hyperlink r:id="rId138">
        <w:r>
          <w:rPr>
            <w:rStyle w:val="Hipervnculo"/>
          </w:rPr>
          <w:t xml:space="preserve">https://doi.org/10.1016/j.fishres.2022.106477</w:t>
        </w:r>
      </w:hyperlink>
    </w:p>
    <w:bookmarkEnd w:id="139"/>
    <w:bookmarkStart w:id="141" w:name="ref-iccatReport2023ICCAT2023"/>
    <w:p>
      <w:pPr>
        <w:pStyle w:val="Bibliografa"/>
      </w:pPr>
      <w:r>
        <w:t xml:space="preserve">ICCAT, 2023.</w:t>
      </w:r>
      <w:r>
        <w:t xml:space="preserve"> </w:t>
      </w:r>
      <w:hyperlink r:id="rId140">
        <w:r>
          <w:rPr>
            <w:rStyle w:val="Hipervnculo"/>
          </w:rPr>
          <w:t xml:space="preserve">Report of the 2023</w:t>
        </w:r>
        <w:r>
          <w:rPr>
            <w:rStyle w:val="Hipervnculo"/>
          </w:rPr>
          <w:t xml:space="preserve"> </w:t>
        </w:r>
        <w:r>
          <w:rPr>
            <w:rStyle w:val="Hipervnculo"/>
          </w:rPr>
          <w:t xml:space="preserve">ICCAT Atlantic</w:t>
        </w:r>
        <w:r>
          <w:rPr>
            <w:rStyle w:val="Hipervnculo"/>
          </w:rPr>
          <w:t xml:space="preserve"> </w:t>
        </w:r>
        <w:r>
          <w:rPr>
            <w:rStyle w:val="Hipervnculo"/>
          </w:rPr>
          <w:t xml:space="preserve">albacore stock assessment meeting (including</w:t>
        </w:r>
        <w:r>
          <w:rPr>
            <w:rStyle w:val="Hipervnculo"/>
          </w:rPr>
          <w:t xml:space="preserve"> </w:t>
        </w:r>
        <w:r>
          <w:rPr>
            <w:rStyle w:val="Hipervnculo"/>
          </w:rPr>
          <w:t xml:space="preserve">MSE</w:t>
        </w:r>
        <w:r>
          <w:rPr>
            <w:rStyle w:val="Hipervnculo"/>
          </w:rPr>
          <w:t xml:space="preserve">)</w:t>
        </w:r>
      </w:hyperlink>
      <w:r>
        <w:t xml:space="preserve"> </w:t>
      </w:r>
      <w:r>
        <w:t xml:space="preserve">(No. SCRS/2023/010). ICCAT (International Commission for the Conservation of Atlantic Tunas).</w:t>
      </w:r>
    </w:p>
    <w:bookmarkEnd w:id="141"/>
    <w:bookmarkStart w:id="143" w:name="ref-lorenzenRelationshipBodyWeight1996"/>
    <w:p>
      <w:pPr>
        <w:pStyle w:val="Bibliografa"/>
      </w:pPr>
      <w:r>
        <w:t xml:space="preserve">Lorenzen, K., 1996. The relationship between body weight and natural mortality in juvenile and adult fish: A comparison of natural ecosystems and aquaculture. Journal of Fish Biology 49, 627–642.</w:t>
      </w:r>
      <w:r>
        <w:t xml:space="preserve"> </w:t>
      </w:r>
      <w:hyperlink r:id="rId142">
        <w:r>
          <w:rPr>
            <w:rStyle w:val="Hipervnculo"/>
          </w:rPr>
          <w:t xml:space="preserve">https://doi.org/10.1111/j.1095-8649.1996.tb00060.x</w:t>
        </w:r>
      </w:hyperlink>
    </w:p>
    <w:bookmarkEnd w:id="143"/>
    <w:bookmarkStart w:id="145" w:name="ref-merinoPreliminaryStockAssessment2014"/>
    <w:p>
      <w:pPr>
        <w:pStyle w:val="Bibliografa"/>
      </w:pPr>
      <w:r>
        <w:t xml:space="preserve">Merino, G., De Bruyn, P., Scott, G.P., Kell, L., Arrizabalaga, H., 2014.</w:t>
      </w:r>
      <w:r>
        <w:t xml:space="preserve"> </w:t>
      </w:r>
      <w:hyperlink r:id="rId144">
        <w:r>
          <w:rPr>
            <w:rStyle w:val="Hipervnculo"/>
          </w:rPr>
          <w:t xml:space="preserve">A preliminary stock assessment for northern albacore using the fully integrated stock assessment model,</w:t>
        </w:r>
        <w:r>
          <w:rPr>
            <w:rStyle w:val="Hipervnculo"/>
          </w:rPr>
          <w:t xml:space="preserve"> </w:t>
        </w:r>
        <w:r>
          <w:rPr>
            <w:rStyle w:val="Hipervnculo"/>
          </w:rPr>
          <w:t xml:space="preserve">MULTIFAN-CL</w:t>
        </w:r>
      </w:hyperlink>
      <w:r>
        <w:t xml:space="preserve"> </w:t>
      </w:r>
      <w:r>
        <w:t xml:space="preserve">(No. SCRS/2013/058). ICCAT (International Commission for the Conservation of Atlantic Tunas).</w:t>
      </w:r>
    </w:p>
    <w:bookmarkEnd w:id="145"/>
    <w:bookmarkStart w:id="147" w:name="ref-merinoUpdatedConsolidatedReport2020"/>
    <w:p>
      <w:pPr>
        <w:pStyle w:val="Bibliografa"/>
      </w:pPr>
      <w:r>
        <w:t xml:space="preserve">Merino, G., Kell, L., Arrizabalaga, H., Santiago, J., 2020.</w:t>
      </w:r>
      <w:r>
        <w:t xml:space="preserve"> </w:t>
      </w:r>
      <w:hyperlink r:id="rId146">
        <w:r>
          <w:rPr>
            <w:rStyle w:val="Hipervnculo"/>
          </w:rPr>
          <w:t xml:space="preserve">Updated consolidated report for</w:t>
        </w:r>
        <w:r>
          <w:rPr>
            <w:rStyle w:val="Hipervnculo"/>
          </w:rPr>
          <w:t xml:space="preserve"> </w:t>
        </w:r>
        <w:r>
          <w:rPr>
            <w:rStyle w:val="Hipervnculo"/>
          </w:rPr>
          <w:t xml:space="preserve">North Atlantic</w:t>
        </w:r>
        <w:r>
          <w:rPr>
            <w:rStyle w:val="Hipervnculo"/>
          </w:rPr>
          <w:t xml:space="preserve"> </w:t>
        </w:r>
        <w:r>
          <w:rPr>
            <w:rStyle w:val="Hipervnculo"/>
          </w:rPr>
          <w:t xml:space="preserve">albacore management strategy evaluation</w:t>
        </w:r>
      </w:hyperlink>
      <w:r>
        <w:t xml:space="preserve"> </w:t>
      </w:r>
      <w:r>
        <w:t xml:space="preserve">(No. SCRS/2020/153). ICCAT (International Commission for the Conservation of Atlantic Tunas).</w:t>
      </w:r>
    </w:p>
    <w:bookmarkEnd w:id="147"/>
    <w:bookmarkStart w:id="149" w:name="ref-methotStockSynthesisBiological2013"/>
    <w:p>
      <w:pPr>
        <w:pStyle w:val="Bibliografa"/>
      </w:pPr>
      <w:r>
        <w:t xml:space="preserve">Methot, R.D., Wetzel, C.R., 2013. Stock synthesis:</w:t>
      </w:r>
      <w:r>
        <w:t xml:space="preserve"> </w:t>
      </w:r>
      <w:r>
        <w:t xml:space="preserve">A</w:t>
      </w:r>
      <w:r>
        <w:t xml:space="preserve"> </w:t>
      </w:r>
      <w:r>
        <w:t xml:space="preserve">biological and statistical framework for fish stock assessment and fishery management. Fisheries Research 142, 86–99.</w:t>
      </w:r>
      <w:r>
        <w:t xml:space="preserve"> </w:t>
      </w:r>
      <w:hyperlink r:id="rId148">
        <w:r>
          <w:rPr>
            <w:rStyle w:val="Hipervnculo"/>
          </w:rPr>
          <w:t xml:space="preserve">https://doi.org/10.1016/j.fishres.2012.10.012</w:t>
        </w:r>
      </w:hyperlink>
    </w:p>
    <w:bookmarkEnd w:id="149"/>
    <w:bookmarkStart w:id="151" w:name="Xa5af333d6d43b49a917f8bca6ad12ad5e31213a"/>
    <w:p>
      <w:pPr>
        <w:pStyle w:val="Bibliografa"/>
      </w:pPr>
      <w:r>
        <w:t xml:space="preserve">Pedersen, M.W., Berg, C.W., 2017. A stochastic surplus production model in continuous time. Fish and Fisheries 18, 226–243.</w:t>
      </w:r>
      <w:r>
        <w:t xml:space="preserve"> </w:t>
      </w:r>
      <w:hyperlink r:id="rId150">
        <w:r>
          <w:rPr>
            <w:rStyle w:val="Hipervnculo"/>
          </w:rPr>
          <w:t xml:space="preserve">https://doi.org/10.1111/faf.12174</w:t>
        </w:r>
      </w:hyperlink>
    </w:p>
    <w:bookmarkEnd w:id="151"/>
    <w:bookmarkStart w:id="153" w:name="ref-schnuteVersatileGrowthModel1981"/>
    <w:p>
      <w:pPr>
        <w:pStyle w:val="Bibliografa"/>
      </w:pPr>
      <w:r>
        <w:t xml:space="preserve">Schnute, J., 1981. A versatile growth model with statistically stable parameters. Canadian Journal of Fisheries and Aquatic Sciences 38, 1128–1140.</w:t>
      </w:r>
      <w:r>
        <w:t xml:space="preserve"> </w:t>
      </w:r>
      <w:hyperlink r:id="rId152">
        <w:r>
          <w:rPr>
            <w:rStyle w:val="Hipervnculo"/>
          </w:rPr>
          <w:t xml:space="preserve">https://doi.org/10.1139/f81-153</w:t>
        </w:r>
      </w:hyperlink>
    </w:p>
    <w:bookmarkEnd w:id="153"/>
    <w:bookmarkEnd w:id="154"/>
    <w:bookmarkEnd w:id="155"/>
    <w:sectPr w:rsidR="00A403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D"/>
    <w:multiLevelType w:val="singleLevel"/>
    <w:tmpl w:val="1F3C9C20"/>
    <w:lvl w:ilvl="0">
      <w:start w:val="1"/>
      <w:numFmt w:val="decimal"/>
      <w:pStyle w:val="Listaconnmeros4"/>
      <w:lvlText w:val="%1."/>
      <w:lvlJc w:val="left"/>
      <w:pPr>
        <w:tabs>
          <w:tab w:pos="1440" w:val="num"/>
        </w:tabs>
        <w:ind w:hanging="360" w:left="1440"/>
      </w:pPr>
    </w:lvl>
  </w:abstractNum>
  <w:abstractNum w15:restartNumberingAfterBreak="0" w:abstractNumId="1">
    <w:nsid w:val="FFFFFF7E"/>
    <w:multiLevelType w:val="singleLevel"/>
    <w:tmpl w:val="017A03B6"/>
    <w:lvl w:ilvl="0">
      <w:start w:val="1"/>
      <w:numFmt w:val="decimal"/>
      <w:lvlText w:val="%1."/>
      <w:lvlJc w:val="left"/>
      <w:pPr>
        <w:tabs>
          <w:tab w:pos="1080" w:val="num"/>
        </w:tabs>
        <w:ind w:hanging="360" w:left="1080"/>
      </w:pPr>
    </w:lvl>
  </w:abstractNum>
  <w:abstractNum w15:restartNumberingAfterBreak="0" w:abstractNumId="2">
    <w:nsid w:val="FFFFFF7F"/>
    <w:multiLevelType w:val="singleLevel"/>
    <w:tmpl w:val="4FE4613A"/>
    <w:lvl w:ilvl="0">
      <w:start w:val="1"/>
      <w:numFmt w:val="decimal"/>
      <w:lvlText w:val="%1."/>
      <w:lvlJc w:val="left"/>
      <w:pPr>
        <w:tabs>
          <w:tab w:pos="643" w:val="num"/>
        </w:tabs>
        <w:ind w:hanging="360" w:left="643"/>
      </w:pPr>
    </w:lvl>
  </w:abstractNum>
  <w:abstractNum w15:restartNumberingAfterBreak="0" w:abstractNumId="3">
    <w:nsid w:val="FFFFFF80"/>
    <w:multiLevelType w:val="singleLevel"/>
    <w:tmpl w:val="14660E0C"/>
    <w:lvl w:ilvl="0">
      <w:start w:val="1"/>
      <w:numFmt w:val="bullet"/>
      <w:lvlText w:val=""/>
      <w:lvlJc w:val="left"/>
      <w:pPr>
        <w:tabs>
          <w:tab w:pos="1800" w:val="num"/>
        </w:tabs>
        <w:ind w:hanging="360" w:left="1800"/>
      </w:pPr>
      <w:rPr>
        <w:rFonts w:ascii="Symbol" w:hAnsi="Symbol" w:hint="default"/>
      </w:rPr>
    </w:lvl>
  </w:abstractNum>
  <w:abstractNum w15:restartNumberingAfterBreak="0" w:abstractNumId="4">
    <w:nsid w:val="FFFFFF81"/>
    <w:multiLevelType w:val="singleLevel"/>
    <w:tmpl w:val="A4BC5DD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3"/>
    <w:multiLevelType w:val="singleLevel"/>
    <w:tmpl w:val="D13EE490"/>
    <w:lvl w:ilvl="0">
      <w:start w:val="1"/>
      <w:numFmt w:val="bullet"/>
      <w:lvlText w:val=""/>
      <w:lvlJc w:val="left"/>
      <w:pPr>
        <w:tabs>
          <w:tab w:pos="720" w:val="num"/>
        </w:tabs>
        <w:ind w:hanging="360" w:left="720"/>
      </w:pPr>
      <w:rPr>
        <w:rFonts w:ascii="Symbol" w:hAnsi="Symbol" w:hint="default"/>
      </w:rPr>
    </w:lvl>
  </w:abstractNum>
  <w:abstractNum w15:restartNumberingAfterBreak="0" w:abstractNumId="6">
    <w:nsid w:val="0E58747D"/>
    <w:multiLevelType w:val="multilevel"/>
    <w:tmpl w:val="A9966A22"/>
    <w:lvl w:ilvl="0">
      <w:start w:val="1"/>
      <w:numFmt w:val="decimal"/>
      <w:lvlText w:val="%1."/>
      <w:lvlJc w:val="left"/>
      <w:pPr>
        <w:ind w:hanging="360" w:left="360"/>
      </w:pPr>
      <w:rPr>
        <w:rFonts w:hint="default"/>
      </w:rPr>
    </w:lvl>
    <w:lvl w:ilvl="1">
      <w:start w:val="1"/>
      <w:numFmt w:val="decimal"/>
      <w:lvlText w:val="%2."/>
      <w:lvlJc w:val="left"/>
      <w:pPr>
        <w:ind w:hanging="360" w:left="720"/>
      </w:pPr>
      <w:rPr>
        <w:rFonts w:hint="default"/>
      </w:rPr>
    </w:lvl>
    <w:lvl w:ilvl="2">
      <w:start w:val="1"/>
      <w:numFmt w:val="decimal"/>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7">
    <w:nsid w:val="170CD2DE"/>
    <w:multiLevelType w:val="multilevel"/>
    <w:tmpl w:val="0BA0364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8">
    <w:nsid w:val="1B177A21"/>
    <w:multiLevelType w:val="hybridMultilevel"/>
    <w:tmpl w:val="1CAE7FC6"/>
    <w:lvl w:ilvl="0" w:tplc="3D3C9ADE">
      <w:start w:val="1"/>
      <w:numFmt w:val="decimal"/>
      <w:pStyle w:val="Lista3"/>
      <w:lvlText w:val="%1."/>
      <w:lvlJc w:val="left"/>
      <w:pPr>
        <w:ind w:hanging="360" w:left="1440"/>
      </w:pPr>
    </w:lvl>
    <w:lvl w:ilvl="1" w:tentative="1" w:tplc="04090019">
      <w:start w:val="1"/>
      <w:numFmt w:val="lowerLetter"/>
      <w:lvlText w:val="%2."/>
      <w:lvlJc w:val="left"/>
      <w:pPr>
        <w:ind w:hanging="360" w:left="2160"/>
      </w:pPr>
    </w:lvl>
    <w:lvl w:ilvl="2" w:tentative="1" w:tplc="0409001B">
      <w:start w:val="1"/>
      <w:numFmt w:val="lowerRoman"/>
      <w:lvlText w:val="%3."/>
      <w:lvlJc w:val="right"/>
      <w:pPr>
        <w:ind w:hanging="180" w:left="2880"/>
      </w:pPr>
    </w:lvl>
    <w:lvl w:ilvl="3" w:tentative="1" w:tplc="0409000F">
      <w:start w:val="1"/>
      <w:numFmt w:val="decimal"/>
      <w:lvlText w:val="%4."/>
      <w:lvlJc w:val="left"/>
      <w:pPr>
        <w:ind w:hanging="360" w:left="3600"/>
      </w:pPr>
    </w:lvl>
    <w:lvl w:ilvl="4" w:tentative="1" w:tplc="04090019">
      <w:start w:val="1"/>
      <w:numFmt w:val="lowerLetter"/>
      <w:lvlText w:val="%5."/>
      <w:lvlJc w:val="left"/>
      <w:pPr>
        <w:ind w:hanging="360" w:left="4320"/>
      </w:pPr>
    </w:lvl>
    <w:lvl w:ilvl="5" w:tentative="1" w:tplc="0409001B">
      <w:start w:val="1"/>
      <w:numFmt w:val="lowerRoman"/>
      <w:lvlText w:val="%6."/>
      <w:lvlJc w:val="right"/>
      <w:pPr>
        <w:ind w:hanging="180" w:left="5040"/>
      </w:pPr>
    </w:lvl>
    <w:lvl w:ilvl="6" w:tentative="1" w:tplc="0409000F">
      <w:start w:val="1"/>
      <w:numFmt w:val="decimal"/>
      <w:lvlText w:val="%7."/>
      <w:lvlJc w:val="left"/>
      <w:pPr>
        <w:ind w:hanging="360" w:left="5760"/>
      </w:pPr>
    </w:lvl>
    <w:lvl w:ilvl="7" w:tentative="1" w:tplc="04090019">
      <w:start w:val="1"/>
      <w:numFmt w:val="lowerLetter"/>
      <w:lvlText w:val="%8."/>
      <w:lvlJc w:val="left"/>
      <w:pPr>
        <w:ind w:hanging="360" w:left="6480"/>
      </w:pPr>
    </w:lvl>
    <w:lvl w:ilvl="8" w:tentative="1" w:tplc="0409001B">
      <w:start w:val="1"/>
      <w:numFmt w:val="lowerRoman"/>
      <w:lvlText w:val="%9."/>
      <w:lvlJc w:val="right"/>
      <w:pPr>
        <w:ind w:hanging="180" w:left="7200"/>
      </w:pPr>
    </w:lvl>
  </w:abstractNum>
  <w:abstractNum w15:restartNumberingAfterBreak="0" w:abstractNumId="9">
    <w:nsid w:val="3C1C4443"/>
    <w:multiLevelType w:val="multilevel"/>
    <w:tmpl w:val="F37204EE"/>
    <w:lvl w:ilvl="0">
      <w:start w:val="1"/>
      <w:numFmt w:val="decimal"/>
      <w:lvlText w:val="%1."/>
      <w:lvlJc w:val="left"/>
      <w:pPr>
        <w:ind w:hanging="360" w:left="360"/>
      </w:pPr>
      <w:rPr>
        <w:rFonts w:hint="default"/>
      </w:rPr>
    </w:lvl>
    <w:lvl w:ilvl="1">
      <w:start w:val="1"/>
      <w:numFmt w:val="decimal"/>
      <w:lvlText w:val="%2.%1."/>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0">
    <w:nsid w:val="460908D4"/>
    <w:multiLevelType w:val="multilevel"/>
    <w:tmpl w:val="5238B574"/>
    <w:lvl w:ilvl="0">
      <w:start w:val="1"/>
      <w:numFmt w:val="decimal"/>
      <w:pStyle w:val="Ttulo1"/>
      <w:lvlText w:val="%1."/>
      <w:lvlJc w:val="left"/>
      <w:pPr>
        <w:ind w:hanging="360" w:left="360"/>
      </w:pPr>
      <w:rPr>
        <w:rFonts w:hint="default"/>
      </w:rPr>
    </w:lvl>
    <w:lvl w:ilvl="1">
      <w:start w:val="1"/>
      <w:numFmt w:val="decimal"/>
      <w:pStyle w:val="CustomLevel2"/>
      <w:lvlText w:val="%1.%2."/>
      <w:lvlJc w:val="left"/>
      <w:pPr>
        <w:ind w:hanging="360" w:left="720"/>
      </w:pPr>
      <w:rPr>
        <w:rFonts w:hint="default"/>
      </w:rPr>
    </w:lvl>
    <w:lvl w:ilvl="2">
      <w:start w:val="1"/>
      <w:numFmt w:val="decimal"/>
      <w:pStyle w:val="CustomLevel3"/>
      <w:lvlText w:val="%1.%2.%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1">
    <w:nsid w:val="494C2B00"/>
    <w:multiLevelType w:val="hybridMultilevel"/>
    <w:tmpl w:val="58CE6474"/>
    <w:lvl w:ilvl="0" w:tplc="826A922A">
      <w:start w:val="1"/>
      <w:numFmt w:val="decimal"/>
      <w:pStyle w:val="Lista2"/>
      <w:lvlText w:val="%1."/>
      <w:lvlJc w:val="left"/>
      <w:pPr>
        <w:ind w:hanging="360" w:left="1080"/>
      </w:p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22663763" w:numId="1">
    <w:abstractNumId w:val="7"/>
  </w:num>
  <w:num w16cid:durableId="2003772557" w:numId="2">
    <w:abstractNumId w:val="10"/>
  </w:num>
  <w:num w16cid:durableId="378289079" w:numId="3">
    <w:abstractNumId w:val="2"/>
  </w:num>
  <w:num w16cid:durableId="1013189642" w:numId="4">
    <w:abstractNumId w:val="1"/>
  </w:num>
  <w:num w16cid:durableId="1485705513" w:numId="5">
    <w:abstractNumId w:val="0"/>
  </w:num>
  <w:num w16cid:durableId="376708137" w:numId="6">
    <w:abstractNumId w:val="3"/>
  </w:num>
  <w:num w16cid:durableId="302806936" w:numId="7">
    <w:abstractNumId w:val="4"/>
  </w:num>
  <w:num w16cid:durableId="354891081" w:numId="8">
    <w:abstractNumId w:val="5"/>
  </w:num>
  <w:num w16cid:durableId="1524049727" w:numId="9">
    <w:abstractNumId w:val="11"/>
  </w:num>
  <w:num w16cid:durableId="1492208625" w:numId="10">
    <w:abstractNumId w:val="8"/>
  </w:num>
  <w:num w16cid:durableId="936715827" w:numId="11">
    <w:abstractNumId w:val="2"/>
  </w:num>
  <w:num w16cid:durableId="1848327817" w:numId="12">
    <w:abstractNumId w:val="6"/>
  </w:num>
  <w:num w16cid:durableId="1728144852" w:numId="13">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doNotExpandShiftReturn/>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40390"/>
    <w:rsid w:val="000264E9"/>
    <w:rsid w:val="00092225"/>
    <w:rsid w:val="000A5750"/>
    <w:rsid w:val="000E2F00"/>
    <w:rsid w:val="000E3D8E"/>
    <w:rsid w:val="00105C37"/>
    <w:rsid w:val="00117EC3"/>
    <w:rsid w:val="0012245B"/>
    <w:rsid w:val="001704C7"/>
    <w:rsid w:val="001D3D25"/>
    <w:rsid w:val="001D7809"/>
    <w:rsid w:val="001E486F"/>
    <w:rsid w:val="002031CF"/>
    <w:rsid w:val="002574E4"/>
    <w:rsid w:val="002D4EC2"/>
    <w:rsid w:val="00303A93"/>
    <w:rsid w:val="00313291"/>
    <w:rsid w:val="00345C1F"/>
    <w:rsid w:val="00350552"/>
    <w:rsid w:val="00360603"/>
    <w:rsid w:val="003C186D"/>
    <w:rsid w:val="003C2F16"/>
    <w:rsid w:val="00417C08"/>
    <w:rsid w:val="004768B6"/>
    <w:rsid w:val="004809CB"/>
    <w:rsid w:val="004A322E"/>
    <w:rsid w:val="004B6684"/>
    <w:rsid w:val="004B6FD3"/>
    <w:rsid w:val="004F0B62"/>
    <w:rsid w:val="00510AF5"/>
    <w:rsid w:val="00530841"/>
    <w:rsid w:val="00533935"/>
    <w:rsid w:val="0057031F"/>
    <w:rsid w:val="005C4A4D"/>
    <w:rsid w:val="005D2BFE"/>
    <w:rsid w:val="006409A7"/>
    <w:rsid w:val="0064577E"/>
    <w:rsid w:val="00646B4E"/>
    <w:rsid w:val="00652381"/>
    <w:rsid w:val="00653FC8"/>
    <w:rsid w:val="006600AF"/>
    <w:rsid w:val="006A17C2"/>
    <w:rsid w:val="006A3651"/>
    <w:rsid w:val="006B32BF"/>
    <w:rsid w:val="006B512C"/>
    <w:rsid w:val="006C3DAE"/>
    <w:rsid w:val="006C500E"/>
    <w:rsid w:val="006D34B2"/>
    <w:rsid w:val="00761BD2"/>
    <w:rsid w:val="007B367D"/>
    <w:rsid w:val="007E4DCD"/>
    <w:rsid w:val="007F1451"/>
    <w:rsid w:val="00803B30"/>
    <w:rsid w:val="0085710A"/>
    <w:rsid w:val="00880BC8"/>
    <w:rsid w:val="00893C56"/>
    <w:rsid w:val="008B5F2B"/>
    <w:rsid w:val="008D20EB"/>
    <w:rsid w:val="008E4617"/>
    <w:rsid w:val="0091132E"/>
    <w:rsid w:val="00920253"/>
    <w:rsid w:val="00936E7B"/>
    <w:rsid w:val="00952950"/>
    <w:rsid w:val="009C7AC0"/>
    <w:rsid w:val="009D2477"/>
    <w:rsid w:val="009E4FEB"/>
    <w:rsid w:val="009F4B5D"/>
    <w:rsid w:val="00A04861"/>
    <w:rsid w:val="00A34A2F"/>
    <w:rsid w:val="00A40390"/>
    <w:rsid w:val="00A806E4"/>
    <w:rsid w:val="00A8532B"/>
    <w:rsid w:val="00A8590C"/>
    <w:rsid w:val="00AA0DC2"/>
    <w:rsid w:val="00AF0D88"/>
    <w:rsid w:val="00AF3346"/>
    <w:rsid w:val="00B21E47"/>
    <w:rsid w:val="00B25DB2"/>
    <w:rsid w:val="00B36EC2"/>
    <w:rsid w:val="00B47AFA"/>
    <w:rsid w:val="00B70EA5"/>
    <w:rsid w:val="00B96673"/>
    <w:rsid w:val="00BC1083"/>
    <w:rsid w:val="00BC432D"/>
    <w:rsid w:val="00BE45A3"/>
    <w:rsid w:val="00C30101"/>
    <w:rsid w:val="00C30248"/>
    <w:rsid w:val="00C80C98"/>
    <w:rsid w:val="00C94EEE"/>
    <w:rsid w:val="00CA26DC"/>
    <w:rsid w:val="00CA467D"/>
    <w:rsid w:val="00CC19F6"/>
    <w:rsid w:val="00D06D2F"/>
    <w:rsid w:val="00D230C4"/>
    <w:rsid w:val="00D41800"/>
    <w:rsid w:val="00D42E3B"/>
    <w:rsid w:val="00D616A1"/>
    <w:rsid w:val="00D6349E"/>
    <w:rsid w:val="00D70BAB"/>
    <w:rsid w:val="00DA0E6D"/>
    <w:rsid w:val="00DD29DB"/>
    <w:rsid w:val="00E14530"/>
    <w:rsid w:val="00E15147"/>
    <w:rsid w:val="00E51AF0"/>
    <w:rsid w:val="00E6523E"/>
    <w:rsid w:val="00EA04BC"/>
    <w:rsid w:val="00EF7401"/>
    <w:rsid w:val="00F135F3"/>
    <w:rsid w:val="00F4160F"/>
    <w:rsid w:val="00F423B9"/>
    <w:rsid w:val="00F87720"/>
    <w:rsid w:val="00FB2FE4"/>
    <w:rsid w:val="00FC6E8A"/>
    <w:rsid w:val="00FF436A"/>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1" w:qFormat="1"/>
    <w:lsdException w:name="Title"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C2F16"/>
    <w:pPr>
      <w:jc w:val="both"/>
    </w:pPr>
    <w:rPr>
      <w:rFonts w:ascii="Cambria" w:hAnsi="Cambria"/>
      <w:sz w:val="20"/>
    </w:rPr>
  </w:style>
  <w:style w:styleId="Ttulo1" w:type="paragraph">
    <w:name w:val="heading 1"/>
    <w:basedOn w:val="Normal"/>
    <w:next w:val="Textoindependiente"/>
    <w:link w:val="Ttulo1Car"/>
    <w:uiPriority w:val="9"/>
    <w:qFormat/>
    <w:rsid w:val="003C2F16"/>
    <w:pPr>
      <w:keepNext/>
      <w:keepLines/>
      <w:numPr>
        <w:numId w:val="2"/>
      </w:numPr>
      <w:spacing w:after="0" w:before="480" w:line="480" w:lineRule="auto"/>
      <w:outlineLvl w:val="0"/>
    </w:pPr>
    <w:rPr>
      <w:rFonts w:cstheme="majorBidi" w:eastAsiaTheme="majorEastAsia"/>
      <w:b/>
      <w:bCs/>
      <w:color w:themeColor="text1" w:val="000000"/>
      <w:szCs w:val="32"/>
    </w:rPr>
  </w:style>
  <w:style w:styleId="Ttulo2" w:type="paragraph">
    <w:name w:val="heading 2"/>
    <w:basedOn w:val="CustomLevel2"/>
    <w:next w:val="Textoindependiente"/>
    <w:uiPriority w:val="9"/>
    <w:unhideWhenUsed/>
    <w:qFormat/>
    <w:rsid w:val="002D4EC2"/>
    <w:pPr>
      <w:spacing w:before="200"/>
      <w:ind w:hanging="357" w:left="357"/>
      <w:outlineLvl w:val="1"/>
    </w:pPr>
    <w:rPr>
      <w:bCs w:val="0"/>
      <w:szCs w:val="28"/>
    </w:rPr>
  </w:style>
  <w:style w:styleId="Ttulo3" w:type="paragraph">
    <w:name w:val="heading 3"/>
    <w:basedOn w:val="CustomLevel3"/>
    <w:next w:val="Textoindependiente"/>
    <w:uiPriority w:val="9"/>
    <w:unhideWhenUsed/>
    <w:qFormat/>
    <w:rsid w:val="00920253"/>
    <w:pPr>
      <w:spacing w:before="200"/>
      <w:ind w:hanging="357" w:left="357"/>
      <w:outlineLvl w:val="2"/>
    </w:pPr>
    <w:rPr>
      <w:b w:val="0"/>
      <w:bCs w:val="0"/>
    </w:rPr>
  </w:style>
  <w:style w:styleId="Ttulo4" w:type="paragraph">
    <w:name w:val="heading 4"/>
    <w:basedOn w:val="Lista"/>
    <w:next w:val="Textoindependiente"/>
    <w:uiPriority w:val="9"/>
    <w:unhideWhenUsed/>
    <w:qFormat/>
    <w:rsid w:val="003C2F16"/>
    <w:pPr>
      <w:keepNext/>
      <w:keepLines/>
      <w:spacing w:after="0" w:before="200" w:line="480" w:lineRule="auto"/>
      <w:ind w:hanging="357" w:left="357"/>
      <w:contextualSpacing w:val="0"/>
      <w:outlineLvl w:val="3"/>
    </w:pPr>
    <w:rPr>
      <w:rFonts w:cstheme="majorBidi" w:eastAsiaTheme="majorEastAsia"/>
      <w:bCs/>
      <w:i/>
      <w:color w:themeColor="text1" w:val="000000"/>
    </w:rPr>
  </w:style>
  <w:style w:styleId="Ttulo5" w:type="paragraph">
    <w:name w:val="heading 5"/>
    <w:basedOn w:val="Lista"/>
    <w:next w:val="Textoindependiente"/>
    <w:uiPriority w:val="9"/>
    <w:unhideWhenUsed/>
    <w:qFormat/>
    <w:rsid w:val="003C2F16"/>
    <w:pPr>
      <w:keepNext/>
      <w:keepLines/>
      <w:spacing w:after="0" w:before="200" w:line="480" w:lineRule="auto"/>
      <w:outlineLvl w:val="4"/>
    </w:pPr>
    <w:rPr>
      <w:rFonts w:cstheme="majorBidi" w:eastAsiaTheme="majorEastAsia"/>
      <w:i/>
      <w:iCs/>
      <w:color w:themeColor="text1" w:val="000000"/>
    </w:rPr>
  </w:style>
  <w:style w:styleId="Ttulo6" w:type="paragraph">
    <w:name w:val="heading 6"/>
    <w:basedOn w:val="Lista"/>
    <w:next w:val="Textoindependiente"/>
    <w:uiPriority w:val="9"/>
    <w:unhideWhenUsed/>
    <w:qFormat/>
    <w:rsid w:val="003C2F16"/>
    <w:pPr>
      <w:keepNext/>
      <w:keepLines/>
      <w:spacing w:after="0" w:before="200" w:line="480" w:lineRule="auto"/>
      <w:outlineLvl w:val="5"/>
    </w:pPr>
    <w:rPr>
      <w:rFonts w:cstheme="majorBidi" w:eastAsiaTheme="majorEastAsia"/>
      <w:i/>
      <w:color w:themeColor="text1" w:val="000000"/>
    </w:rPr>
  </w:style>
  <w:style w:styleId="Ttulo7" w:type="paragraph">
    <w:name w:val="heading 7"/>
    <w:basedOn w:val="Lista"/>
    <w:next w:val="Textoindependiente"/>
    <w:uiPriority w:val="9"/>
    <w:unhideWhenUsed/>
    <w:qFormat/>
    <w:rsid w:val="003C2F16"/>
    <w:pPr>
      <w:keepNext/>
      <w:keepLines/>
      <w:spacing w:after="0" w:before="200" w:line="480" w:lineRule="auto"/>
      <w:outlineLvl w:val="6"/>
    </w:pPr>
    <w:rPr>
      <w:rFonts w:cstheme="majorBidi" w:eastAsiaTheme="majorEastAsia"/>
      <w:i/>
      <w:color w:themeColor="text1" w:val="000000"/>
    </w:rPr>
  </w:style>
  <w:style w:styleId="Ttulo8" w:type="paragraph">
    <w:name w:val="heading 8"/>
    <w:basedOn w:val="Lista"/>
    <w:next w:val="Textoindependiente"/>
    <w:uiPriority w:val="9"/>
    <w:unhideWhenUsed/>
    <w:qFormat/>
    <w:rsid w:val="003C2F16"/>
    <w:pPr>
      <w:keepNext/>
      <w:keepLines/>
      <w:spacing w:after="0" w:before="200" w:line="480" w:lineRule="auto"/>
      <w:outlineLvl w:val="7"/>
    </w:pPr>
    <w:rPr>
      <w:rFonts w:cstheme="majorBidi" w:eastAsiaTheme="majorEastAsia"/>
      <w:i/>
      <w:color w:themeColor="text1" w:val="000000"/>
    </w:rPr>
  </w:style>
  <w:style w:styleId="Ttulo9" w:type="paragraph">
    <w:name w:val="heading 9"/>
    <w:basedOn w:val="Lista"/>
    <w:next w:val="Textoindependiente"/>
    <w:uiPriority w:val="9"/>
    <w:unhideWhenUsed/>
    <w:qFormat/>
    <w:rsid w:val="003C2F16"/>
    <w:pPr>
      <w:keepNext/>
      <w:keepLines/>
      <w:spacing w:after="0" w:before="200" w:line="480" w:lineRule="auto"/>
      <w:outlineLvl w:val="8"/>
    </w:pPr>
    <w:rPr>
      <w:rFonts w:cstheme="majorBidi" w:eastAsiaTheme="majorEastAsia"/>
      <w:i/>
      <w:color w:themeColor="text1" w:val="000000"/>
    </w:rPr>
  </w:style>
  <w:style w:default="1" w:styleId="Fuentedeprrafopredeter" w:type="character">
    <w:name w:val="Default Paragraph Font"/>
    <w:uiPriority w:val="1"/>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link w:val="TextoindependienteCar"/>
    <w:qFormat/>
    <w:pPr>
      <w:spacing w:after="180" w:before="180"/>
    </w:pPr>
  </w:style>
  <w:style w:customStyle="1" w:styleId="FirstParagraph" w:type="paragraph">
    <w:name w:val="First Paragraph"/>
    <w:basedOn w:val="Normal"/>
    <w:qFormat/>
    <w:rsid w:val="00D6349E"/>
    <w:pPr>
      <w:contextualSpacing/>
    </w:pPr>
  </w:style>
  <w:style w:customStyle="1" w:styleId="Compact" w:type="paragraph">
    <w:name w:val="Compact"/>
    <w:basedOn w:val="Normal"/>
    <w:qFormat/>
    <w:rsid w:val="001704C7"/>
    <w:pPr>
      <w:spacing w:after="36" w:before="36"/>
    </w:pPr>
  </w:style>
  <w:style w:styleId="Ttulo" w:type="paragraph">
    <w:name w:val="Title"/>
    <w:basedOn w:val="Normal"/>
    <w:next w:val="Textoindependiente"/>
    <w:qFormat/>
    <w:rsid w:val="003C2F16"/>
    <w:pPr>
      <w:keepNext/>
      <w:keepLines/>
      <w:spacing w:after="240" w:before="480"/>
      <w:jc w:val="center"/>
    </w:pPr>
    <w:rPr>
      <w:rFonts w:cstheme="majorBidi" w:eastAsiaTheme="majorEastAsia"/>
      <w:b/>
      <w:bCs/>
      <w:caps/>
      <w:color w:themeColor="text1" w:val="000000"/>
      <w:sz w:val="24"/>
      <w:szCs w:val="36"/>
    </w:rPr>
  </w:style>
  <w:style w:styleId="Subttulo" w:type="paragraph">
    <w:name w:val="Subtitle"/>
    <w:basedOn w:val="Ttulo"/>
    <w:next w:val="Textoindependiente"/>
    <w:qFormat/>
    <w:rsid w:val="006D34B2"/>
    <w:pPr>
      <w:spacing w:before="240"/>
    </w:pPr>
    <w:rPr>
      <w:i/>
      <w:szCs w:val="30"/>
    </w:rPr>
  </w:style>
  <w:style w:customStyle="1" w:styleId="Author" w:type="paragraph">
    <w:name w:val="Author"/>
    <w:next w:val="Textoindependiente"/>
    <w:qFormat/>
    <w:rsid w:val="003C2F16"/>
    <w:pPr>
      <w:keepNext/>
      <w:keepLines/>
      <w:jc w:val="center"/>
    </w:pPr>
    <w:rPr>
      <w:rFonts w:ascii="Cambria" w:hAnsi="Cambria"/>
      <w:sz w:val="20"/>
    </w:rPr>
  </w:style>
  <w:style w:styleId="Fecha" w:type="paragraph">
    <w:name w:val="Date"/>
    <w:next w:val="Textoindependiente"/>
    <w:qFormat/>
    <w:rsid w:val="003C2F16"/>
    <w:pPr>
      <w:keepNext/>
      <w:keepLines/>
      <w:jc w:val="center"/>
    </w:pPr>
    <w:rPr>
      <w:rFonts w:ascii="Cambria" w:hAnsi="Cambria"/>
      <w:sz w:val="20"/>
    </w:rPr>
  </w:style>
  <w:style w:customStyle="1" w:styleId="Abstract" w:type="paragraph">
    <w:name w:val="Abstract"/>
    <w:basedOn w:val="Normal"/>
    <w:next w:val="Textoindependiente"/>
    <w:qFormat/>
    <w:rsid w:val="003C2F16"/>
    <w:pPr>
      <w:keepNext/>
      <w:keepLines/>
      <w:spacing w:after="300" w:before="300"/>
    </w:pPr>
    <w:rPr>
      <w:i/>
      <w:szCs w:val="20"/>
    </w:rPr>
  </w:style>
  <w:style w:styleId="Bibliografa" w:type="paragraph">
    <w:name w:val="Bibliography"/>
    <w:basedOn w:val="Normal"/>
    <w:qFormat/>
    <w:rsid w:val="00D6349E"/>
    <w:pPr>
      <w:jc w:val="left"/>
    </w:pPr>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qFormat/>
    <w:pPr>
      <w:keepNext/>
      <w:keepLines/>
      <w:spacing w:after="0"/>
    </w:pPr>
    <w:rPr>
      <w:b/>
    </w:rPr>
  </w:style>
  <w:style w:customStyle="1" w:styleId="Definition" w:type="paragraph">
    <w:name w:val="Definition"/>
    <w:basedOn w:val="Normal"/>
    <w:qFormat/>
  </w:style>
  <w:style w:styleId="Descripcin" w:type="paragraph">
    <w:name w:val="caption"/>
    <w:basedOn w:val="Normal"/>
    <w:link w:val="DescripcinCar"/>
    <w:pPr>
      <w:spacing w:after="120"/>
    </w:pPr>
    <w:rPr>
      <w:i/>
    </w:rPr>
  </w:style>
  <w:style w:customStyle="1" w:styleId="TableCaption" w:type="paragraph">
    <w:name w:val="Table Caption"/>
    <w:basedOn w:val="Descripcin"/>
    <w:rsid w:val="00920253"/>
    <w:pPr>
      <w:keepNext/>
    </w:pPr>
    <w:rPr>
      <w:i w:val="0"/>
    </w:rPr>
  </w:style>
  <w:style w:customStyle="1" w:styleId="ImageCaption" w:type="paragraph">
    <w:name w:val="Image Caption"/>
    <w:basedOn w:val="Normal"/>
    <w:rsid w:val="006A3651"/>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qFormat/>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sid w:val="00761BD2"/>
    <w:rPr>
      <w:rFonts w:ascii="Cambria" w:hAnsi="Cambria"/>
      <w:b w:val="0"/>
      <w:color w:val="auto"/>
      <w:sz w:val="20"/>
    </w:rPr>
  </w:style>
  <w:style w:styleId="TtuloTDC" w:type="paragraph">
    <w:name w:val="TOC Heading"/>
    <w:basedOn w:val="Ttulo1"/>
    <w:next w:val="Textoindependiente"/>
    <w:uiPriority w:val="39"/>
    <w:unhideWhenUsed/>
    <w:qFormat/>
    <w:pPr>
      <w:spacing w:before="240" w:line="259" w:lineRule="auto"/>
      <w:outlineLvl w:val="9"/>
    </w:pPr>
    <w:rPr>
      <w:b w:val="0"/>
      <w:bCs w:val="0"/>
      <w:color w:themeColor="accent1" w:themeShade="BF" w:val="374C80"/>
    </w:rPr>
  </w:style>
  <w:style w:styleId="Prrafodelista" w:type="paragraph">
    <w:name w:val="List Paragraph"/>
    <w:basedOn w:val="Normal"/>
    <w:rsid w:val="00CC19F6"/>
    <w:pPr>
      <w:ind w:left="720"/>
      <w:contextualSpacing/>
    </w:pPr>
  </w:style>
  <w:style w:styleId="Listaconnmeros" w:type="paragraph">
    <w:name w:val="List Number"/>
    <w:basedOn w:val="Normal"/>
    <w:link w:val="ListaconnmerosCar"/>
    <w:rsid w:val="00CC19F6"/>
    <w:pPr>
      <w:contextualSpacing/>
    </w:pPr>
  </w:style>
  <w:style w:styleId="Listaconnmeros4" w:type="paragraph">
    <w:name w:val="List Number 4"/>
    <w:basedOn w:val="Normal"/>
    <w:rsid w:val="00CC19F6"/>
    <w:pPr>
      <w:numPr>
        <w:numId w:val="5"/>
      </w:numPr>
      <w:contextualSpacing/>
    </w:pPr>
  </w:style>
  <w:style w:styleId="Lista3" w:type="paragraph">
    <w:name w:val="List 3"/>
    <w:basedOn w:val="Normal"/>
    <w:rsid w:val="00CC19F6"/>
    <w:pPr>
      <w:numPr>
        <w:numId w:val="10"/>
      </w:numPr>
      <w:contextualSpacing/>
    </w:pPr>
  </w:style>
  <w:style w:styleId="Lista2" w:type="paragraph">
    <w:name w:val="List 2"/>
    <w:basedOn w:val="Normal"/>
    <w:rsid w:val="00B96673"/>
    <w:pPr>
      <w:numPr>
        <w:numId w:val="9"/>
      </w:numPr>
      <w:contextualSpacing/>
    </w:pPr>
  </w:style>
  <w:style w:styleId="Lista" w:type="paragraph">
    <w:name w:val="List"/>
    <w:basedOn w:val="Normal"/>
    <w:link w:val="ListaCar"/>
    <w:rsid w:val="00B25DB2"/>
    <w:pPr>
      <w:ind w:hanging="360" w:left="360"/>
      <w:contextualSpacing/>
    </w:pPr>
  </w:style>
  <w:style w:customStyle="1" w:styleId="ListaCar" w:type="character">
    <w:name w:val="Lista Car"/>
    <w:basedOn w:val="Fuentedeprrafopredeter"/>
    <w:link w:val="Lista"/>
    <w:rsid w:val="00B25DB2"/>
    <w:rPr>
      <w:rFonts w:ascii="Times New Roman" w:hAnsi="Times New Roman"/>
      <w:sz w:val="20"/>
    </w:rPr>
  </w:style>
  <w:style w:customStyle="1" w:styleId="Keywords" w:type="paragraph">
    <w:name w:val="Keywords"/>
    <w:basedOn w:val="Abstract"/>
    <w:link w:val="KeywordsCar"/>
    <w:qFormat/>
    <w:rsid w:val="003C2F16"/>
    <w:pPr>
      <w:jc w:val="center"/>
    </w:pPr>
  </w:style>
  <w:style w:customStyle="1" w:styleId="CustomLevel1" w:type="paragraph">
    <w:name w:val="Custom Level 1"/>
    <w:basedOn w:val="Ttulo1"/>
    <w:link w:val="CustomLevel1Car"/>
    <w:rsid w:val="004A322E"/>
  </w:style>
  <w:style w:customStyle="1" w:styleId="ListaconnmerosCar" w:type="character">
    <w:name w:val="Lista con números Car"/>
    <w:basedOn w:val="Fuentedeprrafopredeter"/>
    <w:link w:val="Listaconnmeros"/>
    <w:rsid w:val="004A322E"/>
    <w:rPr>
      <w:rFonts w:ascii="Times New Roman" w:hAnsi="Times New Roman"/>
      <w:sz w:val="20"/>
    </w:rPr>
  </w:style>
  <w:style w:customStyle="1" w:styleId="Ttulo1Car" w:type="character">
    <w:name w:val="Título 1 Car"/>
    <w:basedOn w:val="ListaconnmerosCar"/>
    <w:link w:val="Ttulo1"/>
    <w:uiPriority w:val="9"/>
    <w:rsid w:val="003C2F16"/>
    <w:rPr>
      <w:rFonts w:ascii="Cambria" w:cstheme="majorBidi" w:eastAsiaTheme="majorEastAsia" w:hAnsi="Cambria"/>
      <w:b/>
      <w:bCs/>
      <w:color w:themeColor="text1" w:val="000000"/>
      <w:sz w:val="20"/>
      <w:szCs w:val="32"/>
    </w:rPr>
  </w:style>
  <w:style w:customStyle="1" w:styleId="CustomLevel1Car" w:type="character">
    <w:name w:val="Custom Level 1 Car"/>
    <w:basedOn w:val="Ttulo1Car"/>
    <w:link w:val="CustomLevel1"/>
    <w:rsid w:val="004A322E"/>
    <w:rPr>
      <w:rFonts w:ascii="Times New Roman" w:cstheme="majorBidi" w:eastAsiaTheme="majorEastAsia" w:hAnsi="Times New Roman"/>
      <w:b/>
      <w:bCs/>
      <w:color w:themeColor="text1" w:val="000000"/>
      <w:sz w:val="20"/>
      <w:szCs w:val="32"/>
    </w:rPr>
  </w:style>
  <w:style w:customStyle="1" w:styleId="CustomLevel2" w:type="paragraph">
    <w:name w:val="Custom Level 2"/>
    <w:basedOn w:val="CustomLevel1"/>
    <w:link w:val="CustomLevel2Car"/>
    <w:rsid w:val="002D4EC2"/>
    <w:pPr>
      <w:numPr>
        <w:ilvl w:val="1"/>
      </w:numPr>
    </w:pPr>
    <w:rPr>
      <w:i/>
    </w:rPr>
  </w:style>
  <w:style w:customStyle="1" w:styleId="CustomLevel2Car" w:type="character">
    <w:name w:val="Custom Level 2 Car"/>
    <w:basedOn w:val="CustomLevel1Car"/>
    <w:link w:val="CustomLevel2"/>
    <w:rsid w:val="002D4EC2"/>
    <w:rPr>
      <w:rFonts w:ascii="Times New Roman" w:cstheme="majorBidi" w:eastAsiaTheme="majorEastAsia" w:hAnsi="Times New Roman"/>
      <w:b/>
      <w:bCs/>
      <w:i/>
      <w:color w:themeColor="text1" w:val="000000"/>
      <w:sz w:val="20"/>
      <w:szCs w:val="32"/>
    </w:rPr>
  </w:style>
  <w:style w:customStyle="1" w:styleId="CustomLevel3" w:type="paragraph">
    <w:name w:val="Custom Level 3"/>
    <w:basedOn w:val="CustomLevel2"/>
    <w:link w:val="CustomLevel3Car"/>
    <w:rsid w:val="00530841"/>
    <w:pPr>
      <w:numPr>
        <w:ilvl w:val="2"/>
      </w:numPr>
    </w:pPr>
  </w:style>
  <w:style w:customStyle="1" w:styleId="CustomLevel3Car" w:type="character">
    <w:name w:val="Custom Level 3 Car"/>
    <w:basedOn w:val="CustomLevel2Car"/>
    <w:link w:val="CustomLevel3"/>
    <w:rsid w:val="00530841"/>
    <w:rPr>
      <w:rFonts w:ascii="Times New Roman" w:cstheme="majorBidi" w:eastAsiaTheme="majorEastAsia" w:hAnsi="Times New Roman"/>
      <w:b/>
      <w:bCs/>
      <w:i/>
      <w:color w:themeColor="text1" w:val="000000"/>
      <w:sz w:val="20"/>
      <w:szCs w:val="32"/>
    </w:rPr>
  </w:style>
  <w:style w:customStyle="1" w:styleId="Abstracttitle" w:type="paragraph">
    <w:name w:val="Abstract title"/>
    <w:basedOn w:val="Abstract"/>
    <w:qFormat/>
    <w:rsid w:val="003C2F16"/>
    <w:pPr>
      <w:suppressAutoHyphens/>
      <w:ind w:left="677" w:right="677"/>
      <w:jc w:val="center"/>
    </w:pPr>
    <w:rPr>
      <w:caps/>
    </w:rPr>
  </w:style>
  <w:style w:customStyle="1" w:styleId="Centertext" w:type="paragraph">
    <w:name w:val="Center text"/>
    <w:basedOn w:val="Textoindependiente"/>
    <w:link w:val="CentertextCar"/>
    <w:qFormat/>
    <w:rsid w:val="003C2F16"/>
    <w:pPr>
      <w:suppressAutoHyphens/>
      <w:spacing w:after="0" w:before="202"/>
      <w:jc w:val="center"/>
    </w:pPr>
  </w:style>
  <w:style w:customStyle="1" w:styleId="TextoindependienteCar" w:type="character">
    <w:name w:val="Texto independiente Car"/>
    <w:basedOn w:val="Fuentedeprrafopredeter"/>
    <w:link w:val="Textoindependiente"/>
    <w:rsid w:val="0064577E"/>
    <w:rPr>
      <w:rFonts w:ascii="Times New Roman" w:hAnsi="Times New Roman"/>
      <w:sz w:val="20"/>
    </w:rPr>
  </w:style>
  <w:style w:customStyle="1" w:styleId="CentertextCar" w:type="character">
    <w:name w:val="Center text Car"/>
    <w:basedOn w:val="TextoindependienteCar"/>
    <w:link w:val="Centertext"/>
    <w:rsid w:val="003C2F16"/>
    <w:rPr>
      <w:rFonts w:ascii="Cambria" w:hAnsi="Cambria"/>
      <w:sz w:val="20"/>
    </w:rPr>
  </w:style>
  <w:style w:customStyle="1" w:styleId="KeywordsCar" w:type="character">
    <w:name w:val="Keywords Car"/>
    <w:basedOn w:val="CentertextCar"/>
    <w:link w:val="Keywords"/>
    <w:rsid w:val="003C2F16"/>
    <w:rPr>
      <w:rFonts w:ascii="Cambria" w:hAnsi="Cambria"/>
      <w:i/>
      <w:sz w:val="20"/>
      <w:szCs w:val="20"/>
    </w:rPr>
  </w:style>
  <w:style w:customStyle="1" w:styleId="SourceCode" w:type="paragraph">
    <w:name w:val="Source Code"/>
    <w:basedOn w:val="Normal"/>
    <w:qFormat/>
    <w:rsid w:val="00B36EC2"/>
    <w:pPr>
      <w:shd w:color="auto" w:fill="F1F3F5" w:val="clear"/>
      <w:suppressAutoHyphens/>
      <w:spacing w:after="0" w:before="202"/>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8" Target="media/rId88.png" /><Relationship Type="http://schemas.openxmlformats.org/officeDocument/2006/relationships/image" Id="rId49" Target="media/rId49.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127" Target="media/rId127.jpg" /><Relationship Type="http://schemas.openxmlformats.org/officeDocument/2006/relationships/image" Id="rId98" Target="media/rId98.png" /><Relationship Type="http://schemas.openxmlformats.org/officeDocument/2006/relationships/image" Id="rId94" Target="media/rId94.png" /><Relationship Type="http://schemas.openxmlformats.org/officeDocument/2006/relationships/image" Id="rId78" Target="media/rId78.png" /><Relationship Type="http://schemas.openxmlformats.org/officeDocument/2006/relationships/image" Id="rId22" Target="media/rId22.png" /><Relationship Type="http://schemas.openxmlformats.org/officeDocument/2006/relationships/image" Id="rId57" Target="media/rId57.png" /><Relationship Type="http://schemas.openxmlformats.org/officeDocument/2006/relationships/image" Id="rId82" Target="media/rId82.png" /><Relationship Type="http://schemas.openxmlformats.org/officeDocument/2006/relationships/image" Id="rId110" Target="media/rId110.png" /><Relationship Type="http://schemas.openxmlformats.org/officeDocument/2006/relationships/image" Id="rId120" Target="media/rId120.png" /><Relationship Type="http://schemas.openxmlformats.org/officeDocument/2006/relationships/image" Id="rId105" Target="media/rId105.png" /><Relationship Type="http://schemas.openxmlformats.org/officeDocument/2006/relationships/image" Id="rId115" Target="media/rId115.png" /><Relationship Type="http://schemas.openxmlformats.org/officeDocument/2006/relationships/image" Id="rId67" Target="media/rId67.png" /><Relationship Type="http://schemas.openxmlformats.org/officeDocument/2006/relationships/image" Id="rId35" Target="media/rId35.png" /><Relationship Type="http://schemas.openxmlformats.org/officeDocument/2006/relationships/image" Id="rId71" Target="media/rId71.png" /><Relationship Type="http://schemas.openxmlformats.org/officeDocument/2006/relationships/hyperlink" Id="rId29" Target="https://docs.github.com/en/discussions/quickstart#creating-a-new-discussion" TargetMode="External" /><Relationship Type="http://schemas.openxmlformats.org/officeDocument/2006/relationships/hyperlink" Id="rId148" Target="https://doi.org/10.1016/j.fishres.2012.10.012" TargetMode="External" /><Relationship Type="http://schemas.openxmlformats.org/officeDocument/2006/relationships/hyperlink" Id="rId138" Target="https://doi.org/10.1016/j.fishres.2022.106477" TargetMode="External" /><Relationship Type="http://schemas.openxmlformats.org/officeDocument/2006/relationships/hyperlink" Id="rId136" Target="https://doi.org/10.1016/j.softx.2017.06.001" TargetMode="External" /><Relationship Type="http://schemas.openxmlformats.org/officeDocument/2006/relationships/hyperlink" Id="rId150" Target="https://doi.org/10.1111/faf.12174" TargetMode="External" /><Relationship Type="http://schemas.openxmlformats.org/officeDocument/2006/relationships/hyperlink" Id="rId142" Target="https://doi.org/10.1111/j.1095-8649.1996.tb00060.x" TargetMode="External" /><Relationship Type="http://schemas.openxmlformats.org/officeDocument/2006/relationships/hyperlink" Id="rId134" Target="https://doi.org/10.1139/f2011-025" TargetMode="External" /><Relationship Type="http://schemas.openxmlformats.org/officeDocument/2006/relationships/hyperlink" Id="rId152" Target="https://doi.org/10.1139/f81-153" TargetMode="External" /><Relationship Type="http://schemas.openxmlformats.org/officeDocument/2006/relationships/hyperlink" Id="rId132" Target="https://doi.org/10.1139/f98-100" TargetMode="External" /><Relationship Type="http://schemas.openxmlformats.org/officeDocument/2006/relationships/hyperlink" Id="rId32" Target="https://flr-project.org/" TargetMode="External" /><Relationship Type="http://schemas.openxmlformats.org/officeDocument/2006/relationships/hyperlink" Id="rId28" Target="https://github.com/ICCAT/nalb-mse-2" TargetMode="External" /><Relationship Type="http://schemas.openxmlformats.org/officeDocument/2006/relationships/hyperlink" Id="rId31" Target="https://github.com/flr/FLBEIA" TargetMode="External" /><Relationship Type="http://schemas.openxmlformats.org/officeDocument/2006/relationships/hyperlink" Id="rId21" Target="https://iccat.github.io/nalb-mse-2/" TargetMode="External" /><Relationship Type="http://schemas.openxmlformats.org/officeDocument/2006/relationships/hyperlink" Id="rId63" Target="https://iccat.github.io/nalb-mse-2/TechSpec/Trial_Specs.html" TargetMode="External" /><Relationship Type="http://schemas.openxmlformats.org/officeDocument/2006/relationships/hyperlink" Id="rId27" Target="https://quarto.org/" TargetMode="External" /><Relationship Type="http://schemas.openxmlformats.org/officeDocument/2006/relationships/hyperlink" Id="rId93" Target="https://www.fishbase.org/" TargetMode="External" /><Relationship Type="http://schemas.openxmlformats.org/officeDocument/2006/relationships/hyperlink" Id="rId144" Target="https://www.iccat.int/Documents/CVSP/CV070_2014/n_3/CV070031094.pdf" TargetMode="External" /><Relationship Type="http://schemas.openxmlformats.org/officeDocument/2006/relationships/hyperlink" Id="rId146" Target="https://www.iccat.int/Documents/CVSP/CV077_2020/n_7/CV077070428.pdf" TargetMode="External" /><Relationship Type="http://schemas.openxmlformats.org/officeDocument/2006/relationships/hyperlink" Id="rId140" Target="https://www.iccat.int/Documents/CVSP/CV080_2023/n_3/CV080030175.pdf" TargetMode="External" /><Relationship Type="http://schemas.openxmlformats.org/officeDocument/2006/relationships/hyperlink" Id="rId20" Target="mailto:aurtizberea@azti.es" TargetMode="External" /></Relationships>
</file>

<file path=word/_rels/footnotes.xml.rels><?xml version="1.0" encoding="UTF-8"?><Relationships xmlns="http://schemas.openxmlformats.org/package/2006/relationships"><Relationship Type="http://schemas.openxmlformats.org/officeDocument/2006/relationships/hyperlink" Id="rId29" Target="https://docs.github.com/en/discussions/quickstart#creating-a-new-discussion" TargetMode="External" /><Relationship Type="http://schemas.openxmlformats.org/officeDocument/2006/relationships/hyperlink" Id="rId148" Target="https://doi.org/10.1016/j.fishres.2012.10.012" TargetMode="External" /><Relationship Type="http://schemas.openxmlformats.org/officeDocument/2006/relationships/hyperlink" Id="rId138" Target="https://doi.org/10.1016/j.fishres.2022.106477" TargetMode="External" /><Relationship Type="http://schemas.openxmlformats.org/officeDocument/2006/relationships/hyperlink" Id="rId136" Target="https://doi.org/10.1016/j.softx.2017.06.001" TargetMode="External" /><Relationship Type="http://schemas.openxmlformats.org/officeDocument/2006/relationships/hyperlink" Id="rId150" Target="https://doi.org/10.1111/faf.12174" TargetMode="External" /><Relationship Type="http://schemas.openxmlformats.org/officeDocument/2006/relationships/hyperlink" Id="rId142" Target="https://doi.org/10.1111/j.1095-8649.1996.tb00060.x" TargetMode="External" /><Relationship Type="http://schemas.openxmlformats.org/officeDocument/2006/relationships/hyperlink" Id="rId134" Target="https://doi.org/10.1139/f2011-025" TargetMode="External" /><Relationship Type="http://schemas.openxmlformats.org/officeDocument/2006/relationships/hyperlink" Id="rId152" Target="https://doi.org/10.1139/f81-153" TargetMode="External" /><Relationship Type="http://schemas.openxmlformats.org/officeDocument/2006/relationships/hyperlink" Id="rId132" Target="https://doi.org/10.1139/f98-100" TargetMode="External" /><Relationship Type="http://schemas.openxmlformats.org/officeDocument/2006/relationships/hyperlink" Id="rId32" Target="https://flr-project.org/" TargetMode="External" /><Relationship Type="http://schemas.openxmlformats.org/officeDocument/2006/relationships/hyperlink" Id="rId28" Target="https://github.com/ICCAT/nalb-mse-2" TargetMode="External" /><Relationship Type="http://schemas.openxmlformats.org/officeDocument/2006/relationships/hyperlink" Id="rId31" Target="https://github.com/flr/FLBEIA" TargetMode="External" /><Relationship Type="http://schemas.openxmlformats.org/officeDocument/2006/relationships/hyperlink" Id="rId21" Target="https://iccat.github.io/nalb-mse-2/" TargetMode="External" /><Relationship Type="http://schemas.openxmlformats.org/officeDocument/2006/relationships/hyperlink" Id="rId63" Target="https://iccat.github.io/nalb-mse-2/TechSpec/Trial_Specs.html" TargetMode="External" /><Relationship Type="http://schemas.openxmlformats.org/officeDocument/2006/relationships/hyperlink" Id="rId27" Target="https://quarto.org/" TargetMode="External" /><Relationship Type="http://schemas.openxmlformats.org/officeDocument/2006/relationships/hyperlink" Id="rId93" Target="https://www.fishbase.org/" TargetMode="External" /><Relationship Type="http://schemas.openxmlformats.org/officeDocument/2006/relationships/hyperlink" Id="rId144" Target="https://www.iccat.int/Documents/CVSP/CV070_2014/n_3/CV070031094.pdf" TargetMode="External" /><Relationship Type="http://schemas.openxmlformats.org/officeDocument/2006/relationships/hyperlink" Id="rId146" Target="https://www.iccat.int/Documents/CVSP/CV077_2020/n_7/CV077070428.pdf" TargetMode="External" /><Relationship Type="http://schemas.openxmlformats.org/officeDocument/2006/relationships/hyperlink" Id="rId140" Target="https://www.iccat.int/Documents/CVSP/CV080_2023/n_3/CV080030175.pdf" TargetMode="External" /><Relationship Type="http://schemas.openxmlformats.org/officeDocument/2006/relationships/hyperlink" Id="rId20" Target="mailto:aurtizberea@azti.es" TargetMode="External" /></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327</TotalTime>
  <Pages>2</Pages>
  <Words>90</Words>
  <Characters>516</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 Document for North Atlantic Albacore Management Strategy Evaluation</dc:title>
  <dc:creator>Agurtzane Urtizberea1,✉, Giancarlo M. Correa1, Gorka Merino1, and Haritz Arrizabalaga1</dc:creator>
  <cp:keywords/>
  <dcterms:created xsi:type="dcterms:W3CDTF">2026-06-12T19:42:50Z</dcterms:created>
  <dcterms:modified xsi:type="dcterms:W3CDTF">2026-06-12T19:42:50Z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sl">
    <vt:lpwstr>../elsevier-harvard.csl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True</vt:lpwstr>
  </property>
  <property fmtid="{D5CDD505-2E9C-101B-9397-08002B2CF9AE}" pid="13" name="toc-title">
    <vt:lpwstr>Table of contents</vt:lpwstr>
  </property>
</Properties>
</file>