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7"/>
        <w:gridCol w:w="2233"/>
        <w:gridCol w:w="911"/>
        <w:gridCol w:w="2044"/>
        <w:gridCol w:w="1022"/>
      </w:tblGrid>
      <w:tr>
        <w:trPr>
          <w:trHeight w:val="844" w:hRule="auto"/>
          <w:tblHeader/>
        </w:trPr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Relative Discard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Retention Scenario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MSY Landings (t)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SB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MSY</w:t>
            </w:r>
          </w:p>
        </w:tc>
      </w:tr>
      <w:tr>
        <w:trPr>
          <w:trHeight w:val="59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12,884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31,358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12,532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30,297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13,437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28,572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160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13,779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29,367</w:t>
            </w:r>
          </w:p>
        </w:tc>
      </w:tr>
      <w:tr>
        <w:trPr>
          <w:trHeight w:val="60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12,456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30,593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12,532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30,297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11,695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32,665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10,316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36,453</w:t>
            </w:r>
          </w:p>
        </w:tc>
      </w:tr>
      <w:tr>
        <w:trPr>
          <w:trHeight w:val="60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12,048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32,453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12,532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30,297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10,383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34,827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8,352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38,572</w:t>
            </w:r>
          </w:p>
        </w:tc>
      </w:tr>
      <w:tr>
        <w:trPr>
          <w:trHeight w:val="60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11,664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32,607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12,532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30,297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9,326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36,568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cm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7,019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41,392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2026-07-03T14:30:04Z</dcterms:modified>
  <cp:category/>
</cp:coreProperties>
</file>