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fontana ha il giardino x e come si chiama?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?name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a-con:hasTechnicalSystem ?y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?y a a-con:WaterSystem 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?y a-con:hasWaterElement ?fount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?fount a-core:hasType ?type 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?fount a-cd:hasDesignationInTime ?designat 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?designat l0:name ?name.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?name ?type where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?x a-con:hasTechnicalSystem ?y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?y a a-con:WaterSystem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?y a-con:hasWaterElement ?fount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?fount a-core:hasType ?type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?fount a-lite:assignedDesignation ?name.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catatteristiche tecniche (materiale e tecnica) ha la fontana x?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select ?caratt where 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?x a a-con:Fountain 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a-dd:hasTechnicalStatus ?techstat 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?techstat a-dd:includesTechnicalCharacteristic ?caratt 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?mat ?techn where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?x a-con:Fountain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a-lite:hasMaterial ?mat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a-lite:hasTechnique ?techn .</w:t>
        <w:br w:type="textWrapping"/>
        <w:t xml:space="preserve">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il tipo di sistema delle acque del bene x?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?x ?type where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?x a-con:hasTechnicalSystem ?y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?y a a-con:WaterSystem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a-core:hasType ?type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la modalità di irrigazione usata nel bene x?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?x ?mode where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?x a-con:hasTechnicalSystem ?y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?y a a-con:WaterSystem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a-con:hasModeOfIrrigation ?mode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la distribuzione delle acque nel bene x?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?x ?dist where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?x a-con:hasTechnicalSystem ?y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?y a a-con:WaterSystem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a-con:hasWaterDistribution ?dist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CQ 3, 4, 5 non funzionano perché nella normativa i dati sono tutti nello stesso campo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