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WaterDistributionType diventato WaterDistribution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riutilizzo del pattern DesignationInTime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introdotta WaterElementType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introdotta sottoclasse di WaterElement: Fountain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pattern TechnicalStatus con dirette lite:hasTechnique e lite:hasMaterial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Scheda PG: il campo CAI va strutturato:</w:t>
        <w:br w:type="textWrapping"/>
        <w:t xml:space="preserve">Il modello è già pronto per la strutturazione separata del campo.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di rete idrica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disponibilità di acqua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distribuzione acqua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di irrigazione.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