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quale scadenza ricorre l’evento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?recurrentTime ?value ?unit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a:ce:hasRecurrentTimePeriod ?recurrentTime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?recurrentTime a-ce:hasTimePeriodMeasurementUnit ?unit;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a-ce:timePeriodValue ?value 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fattori unificanti degli eventi della RecurrentSituationSeries x?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?factor where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?x a:ce:hasUnifyingFactor ?factor.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No dati per 2, per 1 solo in il RecurrentTimePeriod 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