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il tipo di supporto memoria della registrazione x?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select ?type where {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?x a-cd:hasStorageMedium ?med 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?med core:hasType ?type 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eventi/cambiamenti hanno coinvolto il supporto audio x?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select ?event where 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?x a a-cd:StorageMedium 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a-cd:hasRelatedEvent ?event 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la collocazione del supporto audio x?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?cis where {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?x a a-cd:StorageMedium 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http://dati.beniculturali.it/cis/hasCIS</w:t>
        </w:r>
      </w:hyperlink>
      <w:r w:rsidDel="00000000" w:rsidR="00000000" w:rsidRPr="00000000">
        <w:rPr>
          <w:rtl w:val="0"/>
        </w:rPr>
        <w:t xml:space="preserve">&gt; ?cis .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ati.beniculturali.it/cis/hasC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