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Quando è stato acquisito il bene dall’attuale proprietario? Che tipo di acquisizione è stata fatta?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When was the cultural property acquired by the current owner?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DISTINCT ?entity ?time ?type WHERE{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?entity a-cd:hasAcquisition ?acq.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?acq &lt;https://w3id.org/italia/onto/TI/atTime&gt; ?time;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core:hasType ?type.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è stato il precedente proprietario del bene?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Who was the transferor of the cultural property?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DISTINCT ?entity ?transferor WHERE{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?entity a-cd:hasAcquisition ?acq.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?acq core:hasAgentRole ?agentrole.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?agentrole core:hasAgent ?transferor;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core:hasRole &lt;https://w3id.org/arco/resource/Role/Transferor&gt; 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è il luogo di acquisizione? Quanto è costata l’acquisizione?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What is the place of acquisition of the cultural property? How much did the acquisition cost?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DISTINCT ?entity ?loc ?cost WHERE{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?entity a-cd:hasAcquisition ?acq.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?acq a-cd:acquisitionLocation ?loc;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?acq a-cd:acquisitionCost ?cost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Query 1 e 2. non funziona perché modello cambiato (usare per ora hasAcquisitionType e hasPreviousOwner e ti:time)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Query 3: non funziona perché ci sono i dati per l’acquisition location ma non i dati per acquisition cost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