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supporto dell’iscrizione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?support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 a-dd:AffixedElement;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core:hasType a-dd:Inscription;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a-dd:hasSupport ?support.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quale materiale è fatto l’emblema 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?entity ?material WHERE{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?entity a a-dd:AffixedElement;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core:hasType a-dd:Emblem;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a-lite:hasMaterial ?material.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DISTINCT ?entity ?material WHERE{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?entity a a-dd:AffixedElement;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core:hasType a-dd:Emblem;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a-dd:hasTechnicalStatus ?TS.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?TS a-dd:includesTechnicalCharacteristic ?material.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?material a-dd:isCharacteristicClassifiedBy a-dd:Material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sistema di scrittura è stato impiegato nel coat fo arms del bene?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DISTINCT ?entity ?ws WHERE{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?entity a a-dd:AffixedElement;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core:hasType a-dd:CoatOfArms;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a-dd:hasWritingSystem ?ws.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tipi di elementi affissi?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DISTINCT ?entity ?type WHERE{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?entity a a-dd:AffixedElement;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core:hasType ?type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NB: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CQ1: ora è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DISTINCT ?entity ?support WHERE{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?entity a a-dd:Inscription;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a-dd:hasSupport ?support.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CQ 2 è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DISTINCT ?entity ?material WHERE{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?entity a a-dd:Emblem;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a-dd:hasMaterial ?material.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CQ3 è: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DISTINCT ?entity ?ws WHERE{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?entity a a-dd:CoatOfArms;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a-dd:hasWritingSystem ?ws.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CQ4 è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DISTINCT ?entity ?ws WHERE{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?entity a-dd:hasAffixedElementType ?ws.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