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 riferimenti bibliografici per ricostruire il contesto del bene 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?entity ?rif WHERE{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?entity a-cd:hasContextBibliographicSource ?bib.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?bib a-cd:completeBibliographicReference ?rif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DISTINCT ?entity ?rif WHERE{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?entity a-lite:contextBibliographicReference ?rif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 riferimenti bibliografici relativi al bene x?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DISTINCT ?entity ?rif WHERE{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?entity a-cd:hasBibliographicSource ?bib.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?bib a-cd:completeBibliographicReference ?rif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?entity ?rif WHERE{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?entity a-lite:bibliographicReference ?rif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Bibliography completamente diversa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