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beni risultano censiti al catasto?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Which cultural properties are registered in the cadastre?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distinct ?x where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?CadId a-loc:hasLocationType a-loc:CurrentPhysicalLocation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tipo di catasto è censito il bene x?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 what type of cadastre is the property x registered?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distinct ?x ?CadType where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?CadId a-loc:hasLocationType a-loc:CurrentPhysicalLocation;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a-loc:hasCadastre ?Cad.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?Cad core:hasType ?CadType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Comune, foglio e particella del bene x?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Which are City, folio and cadastral unit collection of cultural property x?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distinct ?city ?Folio ?UnitCollection where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&lt;http://example.com/1&gt; a-loc:hasCadastralIdentity ?CadId.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?CadId a-loc:hasLocationType a-loc:CurrentPhysicalLocation;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a-loc:hasCadastralCity ?city;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a-loc:hasCadastralEntity ?Folio;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a-loc:hasCadastralEntity ?UnitCollection.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?Folio a a-loc:CadastralFolio.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?UnitCollection a a-loc:CadastralUnitCollection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dati catastali del luogo in cui è stato ritrovato il bene?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What are the cadastral data of the place where the cultural property was found?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select distinct ?x ?city ?Folio ?UnitCollection where 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?CadId a-loc:hasLocationType a-loc:FindingLocation;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a-loc:hasCadastralCity ?city;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a-loc:hasCadastralEntity ?Folio;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a-loc:hasCadastralEntity ?UnitCollection.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?Folio a a-loc:CadastralFolio.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?UnitCollection a a-loc:CadastralUnitCollection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proprietario dell’unità catastale del bene x?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who is the owner of the cadastral unit of the cultural property x?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select distinct ?x ?Owner where {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?CadId a-loc:hasCadastralEntity ?UnitCollection.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?UnitCollection a-lite:hasOwner ?Owner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le particelle confinanti alla particella del bene x?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What are the neighboring cadastral unit collection to the cadastral unit collection of  the cultural property x?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select distinct ?x ?NeighCad where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?CadId a-loc:hasCadastralEntity ?NeighCad.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?NeighCad a a-loc:NeighbouringCadastralEntity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stato inserito il bene nel catasto?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When was the cultural property registered in the cadastre?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distinct ?x ?time where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?x a-loc:hasCadastralIdentity ?CadId.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?CadId &lt;https://w3id.org/italia/onto/TI/atTime&gt; ?time.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5 e 6 non ci sono dati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cq 2, 6 e 7 modello cambiato (non c’è hasCadastre, ma direttamente hasCadastreType; hasOwner era in cd, ora in lite)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