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aggiunto isContainedInCadastre Cadastre → Cadastre hasType CadastreType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eliminato hadCadastreType e inversa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aggiunto a-lite:hasCity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modificato ti:time in ti:atTime TimeInterval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 RIVEDERE HAS LOCATION TYPE dopo revisione Geometry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Revisione Normativa: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Inserire nello stesso paragrafo localizzazione catastale e localizzazione geografica, o comunque inserire un riferimento che permetta di collegare i due paragrafi, perché la localizzazione catastale si riferisce sempre a una localizzazione geografica esplicitata in un indirizzo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problema con uniformazione delle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 pulito i dati di LocationType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