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periodo il bene ha fatto parte della collezione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in what period was the cultural property a member of the x collection?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?entity ?time ?Collection WHERE{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?entity a-cd:isMemberOfCollectionOf ?collectionmemb.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?collectionmemb &lt;https://w3id.org/italia/onto/TI/atTime&gt; ?time;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a-cd:hasCollection ?Collection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quale motivo il bene culturale ha lasciato la collezione x?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Why did the cultural property leave the x collection?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SELECT DISTINCT ?entity ?reason ?Collection WHERE{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?entity a-cd:isMemberOfCollectionOf ?collectionmemb.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?collectionmemb a-cd:collectionLeavingReason ?reason;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a-cd:hasCollection ?Collection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il collezionista della collezione di cui fa parte il bene cultruale?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Who is the collector of the collection to which the cultural heritage belongs?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SELECT DISTINCT ?entity ?Agent ?Collection WHERE{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?entity a-cd:isMemberOfCollectionOf ?collectionmemb.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?collectionmemb a-cd:hasCollection ?Collection.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?Collection a-lite:hasCollector ?Agent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numero identificativo del bene all’interno della collezione?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what is the identification number of the cultrural property within the collection?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SELECT DISTINCT ?entity ?number ?Collection WHERE{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?entity a-cd:isMemberOfCollectionOf ?collectionmemb.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?collectionmemb a-cd:collectionUnitNumber ?number;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a-cd:hasCollection ?Collection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Note: query 3 e query 4 non da risultati perché regole di trasformazione ancora non recepite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