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Qual è il formato del documento x collegato al bene y?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  <w:t xml:space="preserve">What’s the documentation file format of cultural property y?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  <w:t xml:space="preserve">select ?format where {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 xml:space="preserve">?x a-cd:hasDocumentation ?doc .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 xml:space="preserve">?doc a-dd:hasFormat ?format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LIMIT 100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Qual è l’identificativo della documentazione x?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What is the identifier of the documentation x?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select ?id where 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?y a-lite:localIdentifier ? id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LIMIT 100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Secondo quale licenza posso usare la foto x?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Under what license can I use photo x?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select ?x ?license where 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?x a a-cd:PhotographicDocumentation;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a-cd:hasLicense ?license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LIMIT 100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Chi è il proprietario della documentazione x?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Who is the owner of the documentation x?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select ?x ?owner where 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?x a-lite:hasOwner ?owner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LIMIT 100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