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 è l’editore dell’edizione x?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?editor where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?x a-lite:hasEditor ?editor.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oppure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?editor where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?x a-cd:hasEdition ?edition.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?edition a-cd:hasAgentRole ?editor 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che luogo è stata pubblicata l’edizione x?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?loc where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?edition a-cd:editionLocation ?loc.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è il titolo principale dell’edizione x?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?x ?title where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?x a-cd:hasEdition ?edition.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?edition a-cd:hasTitle ?tit.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?tit core:hasType a-cd:MainTitle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è stata realizzata l’edizione x?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?x ?time where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?x a-cd:hasEdition ?edition.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?edition &lt;https://w3id.org/italia/onto/TI/atTime&gt; ?time.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cq 1, 4 ha modello nuovo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cq 2 ok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