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che regione si trova il bene x?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select ?region where {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?x a-loc:hasTimeIndexedTypedLocation ?titl 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?titl a-loc:atLocation ?feat 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?feat clvapit:hasAddress ?addr 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?addr clvapit:hasRegion ?region 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la localizzazione storica del bene x?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?histaddr where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?x a-loc:hasTimeIndexedTypedLocation ?titl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?titl a-loc:atLocation ?feat 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?feat a-loc:hasHistoricalAddress ?histaddr.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l’area urbana del reperto x?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?histaddr where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?x a-loc:hasTimeIndexedTypedLocation ?titl 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?titl a-loc:atLocation ?feat 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?feat clvapit:hasAddress ?addr 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?addr clvapit:hasAddressComponent ?area 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?area a a-loc:UrbanArea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CQ1 ci sono i dati, CQ2 non ci sono dati, CQ3 ok se si sostituisce hasAddressComponent con hasTerritorialArea (mod prec).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