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quale registro di inventario è stato inventariato il bene?Dove si trova l’inventario?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DISTINCT ?entity ?Inv ?loc WHERE{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?entity a-cd:hasInventorySituation ?invsit.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?invsit a-cd:hasInventory ?Inv.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?Inv a-cd:inventoryLocation ?loc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ha inventariato e quando è stato inventariato il bene?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DISTINCT ?entity ?date ?inv WHERE{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?entity a-cd:hasInventorySituation ?invsit.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?invsit a-cd:insertionDate ?date;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a-cd:hasInventoryIdentifierResponsible ?inv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Qual’è la categoria patrimoniale relativa al bene? qual’è il suo identificativo?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DISTINCT ?entity ?sec ?id WHERE{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?entity a-cd:hasInventorySituation ?invsit.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?invsit a-cd:hasSECCategory ?sec.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?sec core:hasIdentifier ?identif.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?identif l0:identifier ?id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quale è il numero di inventario attuale del bene?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DISTINCT ?entity ?date ?inv WHERE{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?entity a-cd:hasInventorySituation ?invsit.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?invsit a-cd:inventoryNumber ?inv;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core:current “true”.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Note: cq 2 non ci sono dati per Responsible, solo per la data di immissione, controllare in sigec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cq 3 non ci sono dati, controllare in sigec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cq4 non da risultati, forse non ci sono i dati.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