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aggiunta classe inventory situation collegata a Thing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deprecata la sottoclasse current inventory, inserito al suo posto core:current boolean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inventory situation è collegato il pattern agent role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inventory responsible non è più in cd ma in lite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tutto quello che era collegato a current inventory ora è collegato a inventory situation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è stata eliminata la secidentifier come classe, rimane solo la categoria SEC a cui è stato collegato un identificativo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inserito il pattern identifier per secidentifier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 identifier deprecata e sostituita da inventory number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insertion date aggiunta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inserite le dataproperty lite:currentInventoryNumber e lite:alternativeInventoryNumber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Revisione Normativa: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INVC “inventory location” specificare meglio cosa si intende per Luogo, se luogo fisico o luogo giuridico → lo lasciamo come literal perchè non si capisce cosa può essere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tutti i beni che nin hanno INV ma solo INP non è possibile stabilire l’inventario corrente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INVG non trasformato perchè dobbiamo essere sicuri di come sono stati inseriti i dati del testo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Dati: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