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soggetto responsabile per la scheda?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?entity ?agent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?entity core:hasAgentRole ?agentrole.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?agentrole core:hasAgent ?agent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?agent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a-lite:hasRecordResponsibleAgent ?agent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schede descrivono il bene x?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SELECT distinct ?rec where 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?x a-cat:isDescribedBy ?rec.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profilo di accesso alla scheda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distinct ?x ?prof  where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?x a-cat:hasAccessProfile ?prof.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livello di catalogazione della scheda?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?x ?y  where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?x a-cat:hasCataloguingLevel ?y.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 versioni ci sono della scheda?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 ?x (COUNT(?y) AS ?count ) where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?x a-cat:hasCatalogueRecordVersion ?y.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CQ 1 non ci sono i dati. CQ2 (per ora c’è anche proprità isDescribedByCatalogueRecord ma poi verrà eliminata dai dati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hasAdditionalFormResponsibleAgent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hasCataloguingAgent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tutte le sottoproprietà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