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il criterio di interpretazione per il sesso del bene x?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select ?crit where 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?x a-cd:hasSex ?sex 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?sex a-cd:isInvolvedEntityOf ?interp 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?interp a-cd:hasInterpretationCriterion ?crit 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il sesso del bene x?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select ?sexVal where 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?x a-cd:hasSex ?sex 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?sex rdfs:label ?sexVal 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non funzionano, da trasformare con nuovi modelli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