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BiologicalTaxon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quale sottospecie appartiene il campione x? e quali sono i livelli di classificazione precedenti?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select ?subsp ?ranks where {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?x a-spe:isClassifiedBy ?subspe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?subspe a a-spe:BiologicalSubspecies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?subspe a-spe:hasHigherRank ?ranks 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MineralTaxon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quale classe appartiene il minerale x? e quale sistema di classificazione viene usato?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?classtype ?system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a-spe:isClassifiedBy ?class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?class a spe:MineralClass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core:refersToClassificationSystem ?class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?class rdf:type ?classtype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PetrologicTaxon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roccia è il campione x? e chi è l’autore della classificazione?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?rocktype ?agent where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?x a-spe:isClassifiedBy ?rocktype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?rocktype a a-spe:RockType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lite:hasAuthor ?agent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PlanetologicTaxon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il genere e il gruppo del meteorite x?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select ?genus ?group where {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?x a-spe:hasPlanetologicTaxon ?genus;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a-spe:hasPlanetologicTaxon ?group 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?genus a a-spe:PlanetologicGenus 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?group a-spe:PlanetologicGroup 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