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lite:hasCulturalPropertyAddress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yellow"/>
          <w:rtl w:val="0"/>
        </w:rPr>
        <w:t xml:space="preserve">collegamento di geometry e cadastral identity a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Chiedere a Vale se creare equivalent class a CLV:Feature per inserire restrizioni locali (hasCadastralIdentity)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Creare dirette tra oggetto e feature e tra oggetto e address?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Normativa: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nello stesso paragrafo inserire dati catastali e geolocalizzazioni per non duplicare dato relativo a tipo di localizzazione (potrebbe portare a typo se compilati manualmente)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Dati: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 pulito i dati di LocationType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 collegato coordinate e identità catastale a feature e a site (sottoclasse di feature), solo per le localizzazioni correnti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