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Quale ente ha emesso lo strumento urbanistico-territoriale relativo al bene x?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?cp ?ente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?cp a-cd:hasUrbanPlanningInstrument ?y 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?y core:hasAgentRole ?agRole 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?agRole core:hasAgent ?ente 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oppure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?cp ?ente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?cp a-cd:hasUrbanPlanningInstrument ?y 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?x lite:hasIssuingAgency ?ente 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Quali interventi sono ammissibili sul bene x?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?x ?type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?cp a-cd:hasUrbanPlanningInstrument ?y 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?x a-cd:definesEligibleIntervention ?type.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oppure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?cp ?ente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?cp lite:hasEligibleIntervention ?type.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Quali tipi di strumenti urbanistici territoriali sono stati emessi in Italia?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?type where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?y core:hasType ?type.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?type a a-cd:UrbanPlanningInstrumentType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CQ1 ok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CQ2 ok con a-cd:hasEligibleIntervention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CQ3 non ci sono i dati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