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eliminata la classe a-cd:EligibleIntervention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 nella 1.2 a-cd:UbranPlanningInstrument a-cd:hasEligibileIntervention( inv. isInterventionEligibleBy) a-cd:EligibleInterventioncon &gt;&gt; ora UrbanPlanningInstrument a-cd:definesEligibleIntervention a-cd:InterventionType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inserita la diretta lite:hasEligibleIntervention che collega il bene all’InterventionType (eligible)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sostituito a-cd:hasIssuingAgency con pattern AgentRole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core:hasType a-cd:UrbanPlanningInstrumentType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mettere obbligatorietà di compilazione, se si compila il paragrafo STU, per i campi STUE (ente) e STUT (tipo strumento) per modellare correttamente gli strumenti urbanistici. Ora viene creato un individuo per ogni strumento inserito nelle schede anche quando è lo stesso per più beni.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