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use confluisce anche il paragrafo fruition di veac.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Fruition è deprecato, insieme a hasFruition,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Aggiunto hasAgentRole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hasUser va in lite e collega direttamente il bene all’utente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isKeptIn non ha più come domain use, ma thing, ed è collegato direttamente al bene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CONTROLLARE ALTRI CAMBIAMENTI DALLA VERSIONE 1.0 E 1.2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Normativa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tutto trasformato secondo il nuovo modello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