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2"/>
        </w:rPr>
        <w:t>PRELIMINARY SECURITY &amp; DIRECTORY AUDIT REPORT</w:t>
      </w:r>
    </w:p>
    <w:p>
      <w:pPr>
        <w:jc w:val="center"/>
      </w:pPr>
      <w:r>
        <w:rPr>
          <w:b/>
          <w:sz w:val="30"/>
        </w:rPr>
        <w:t>Zambian Government Ministry Websites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8"/>
              </w:rPr>
              <w:t>Report date</w:t>
            </w:r>
          </w:p>
        </w:tc>
        <w:tc>
          <w:tcPr>
            <w:tcW w:type="dxa" w:w="5040"/>
            <w:vAlign w:val="center"/>
          </w:tcPr>
          <w:p>
            <w:pPr>
              <w:spacing w:after="0"/>
            </w:pPr>
            <w:r/>
            <w:r>
              <w:rPr>
                <w:rFonts w:ascii="Arial" w:hAnsi="Arial"/>
                <w:b w:val="0"/>
                <w:sz w:val="18"/>
              </w:rPr>
              <w:t>26 October 2026</w:t>
            </w:r>
          </w:p>
        </w:tc>
      </w:tr>
      <w:tr>
        <w:tc>
          <w:tcPr>
            <w:tcW w:type="dxa" w:w="5040"/>
            <w:vAlign w:val="center"/>
            <w:shd w:fill="D9EAF7"/>
          </w:tcPr>
          <w:p>
            <w:pPr>
              <w:spacing w:after="0"/>
            </w:pPr>
            <w:r/>
            <w:r>
              <w:rPr>
                <w:rFonts w:ascii="Arial" w:hAnsi="Arial"/>
                <w:b/>
                <w:sz w:val="18"/>
              </w:rPr>
              <w:t>Prepared by</w:t>
            </w:r>
          </w:p>
        </w:tc>
        <w:tc>
          <w:tcPr>
            <w:tcW w:type="dxa" w:w="5040"/>
            <w:vAlign w:val="center"/>
          </w:tcPr>
          <w:p>
            <w:pPr>
              <w:spacing w:after="0"/>
            </w:pPr>
            <w:r/>
            <w:r>
              <w:rPr>
                <w:rFonts w:ascii="Arial" w:hAnsi="Arial"/>
                <w:b w:val="0"/>
                <w:sz w:val="18"/>
              </w:rPr>
              <w:t>Kennedy (with AI-assisted drafting)</w:t>
            </w:r>
          </w:p>
        </w:tc>
      </w:tr>
      <w:tr>
        <w:tc>
          <w:tcPr>
            <w:tcW w:type="dxa" w:w="5040"/>
            <w:vAlign w:val="center"/>
            <w:shd w:fill="D9EAF7"/>
          </w:tcPr>
          <w:p>
            <w:pPr>
              <w:spacing w:after="0"/>
            </w:pPr>
            <w:r/>
            <w:r>
              <w:rPr>
                <w:rFonts w:ascii="Arial" w:hAnsi="Arial"/>
                <w:b/>
                <w:sz w:val="18"/>
              </w:rPr>
              <w:t>Intended audience</w:t>
            </w:r>
          </w:p>
        </w:tc>
        <w:tc>
          <w:tcPr>
            <w:tcW w:type="dxa" w:w="5040"/>
            <w:vAlign w:val="center"/>
          </w:tcPr>
          <w:p>
            <w:pPr>
              <w:spacing w:after="0"/>
            </w:pPr>
            <w:r/>
            <w:r>
              <w:rPr>
                <w:rFonts w:ascii="Arial" w:hAnsi="Arial"/>
                <w:b w:val="0"/>
                <w:sz w:val="18"/>
              </w:rPr>
              <w:t>Smart Zambia internship supervisor / authorized technical team</w:t>
            </w:r>
          </w:p>
        </w:tc>
      </w:tr>
      <w:tr>
        <w:tc>
          <w:tcPr>
            <w:tcW w:type="dxa" w:w="5040"/>
            <w:vAlign w:val="center"/>
            <w:shd w:fill="D9EAF7"/>
          </w:tcPr>
          <w:p>
            <w:pPr>
              <w:spacing w:after="0"/>
            </w:pPr>
            <w:r/>
            <w:r>
              <w:rPr>
                <w:rFonts w:ascii="Arial" w:hAnsi="Arial"/>
                <w:b/>
                <w:sz w:val="18"/>
              </w:rPr>
              <w:t>Scope</w:t>
            </w:r>
          </w:p>
        </w:tc>
        <w:tc>
          <w:tcPr>
            <w:tcW w:type="dxa" w:w="5040"/>
            <w:vAlign w:val="center"/>
          </w:tcPr>
          <w:p>
            <w:pPr>
              <w:spacing w:after="0"/>
            </w:pPr>
            <w:r/>
            <w:r>
              <w:rPr>
                <w:rFonts w:ascii="Arial" w:hAnsi="Arial"/>
                <w:b w:val="0"/>
                <w:sz w:val="18"/>
              </w:rPr>
              <w:t>Cabinet Office ministry directory and ministry websites linked from it</w:t>
            </w:r>
          </w:p>
        </w:tc>
      </w:tr>
    </w:tbl>
    <w:p/>
    <w:p>
      <w:r>
        <w:rPr>
          <w:b/>
          <w:color w:val="C00000"/>
        </w:rPr>
        <w:t>IMPORTANT STATUS NOTE</w:t>
      </w:r>
      <w:r>
        <w:t xml:space="preserve">  This is a preliminary working report. Some technical observations in the supplied notes have not yet been independently verified or supported by saved screenshots, timestamps, response headers, or administrator confirmation. They are therefore recorded as reported observations or items for verification—not as confirmed vulnerabilities. Do not circulate the unverified statements as established facts.</w:t>
      </w:r>
    </w:p>
    <w:p>
      <w:pPr>
        <w:pStyle w:val="Heading1"/>
      </w:pPr>
      <w:r>
        <w:t>1. Executive Summary</w:t>
      </w:r>
    </w:p>
    <w:p>
      <w:r>
        <w:t>This preliminary review concerns the Cabinet Office directory of ministries and provincial administrations and a set of ministry domains supplied during the initial audit. The audit should assess directory accuracy, link reliability, contact-data completeness, basic accessibility and availability, and security indicators that can be checked safely within the scope authorized by Smart Zambia.</w:t>
      </w:r>
    </w:p>
    <w:p>
      <w:r>
        <w:t>An initial review of the official Cabinet Office directory reveals apparent content-quality issues, including the spelling “Infromation and Media” in the ministry list and a possible naming inconsistency in “Youth, Sports and Art.” These should be captured as directory-content findings and confirmed against the current official ministry names before correction is recommended.</w:t>
      </w:r>
    </w:p>
    <w:p>
      <w:r>
        <w:t>The notes supplied for this report also mention publicly reachable login pages, possible PHP-based content-management systems, and a suspected directory/server exposure on mim.gov.zm. These are not sufficient on their own to prove a security vulnerability. Public login pages are common and do not automatically constitute a defect; identifying a CMS does not establish the installed PHP version; and the reported directory exposure must be documented and reviewed by an authorized technical team before assigning a confirmed severity.</w:t>
      </w:r>
    </w:p>
    <w:p>
      <w:r>
        <w:t>The official PHP project announced security releases on 21 October 2026 for CVE-2026-109618 and CVE-2026-109619. The advisory states that the vulnerabilities can permit unauthenticated remote code execution in affected PHP installations. However, no evidence currently in this report confirms that any listed Zambian ministry website runs an affected PHP version or deployment configuration.</w:t>
      </w:r>
    </w:p>
    <w:p>
      <w:pPr>
        <w:pStyle w:val="Heading1"/>
      </w:pPr>
      <w:r>
        <w:t>2. Audit Objectives</w:t>
      </w:r>
    </w:p>
    <w:p>
      <w:pPr>
        <w:pStyle w:val="ListBullet"/>
        <w:spacing w:after="40"/>
      </w:pPr>
      <w:r>
        <w:t>Check whether the Cabinet Office directory lists ministry names consistently and accurately.</w:t>
      </w:r>
    </w:p>
    <w:p>
      <w:pPr>
        <w:pStyle w:val="ListBullet"/>
        <w:spacing w:after="40"/>
      </w:pPr>
      <w:r>
        <w:t>Verify that each ministry link opens the intended official website.</w:t>
      </w:r>
    </w:p>
    <w:p>
      <w:pPr>
        <w:pStyle w:val="ListBullet"/>
        <w:spacing w:after="40"/>
      </w:pPr>
      <w:r>
        <w:t>Record whether contact information is present, consistently formatted, and verifiable from an official source.</w:t>
      </w:r>
    </w:p>
    <w:p>
      <w:pPr>
        <w:pStyle w:val="ListBullet"/>
        <w:spacing w:after="40"/>
      </w:pPr>
      <w:r>
        <w:t>Review public website availability, HTTPS/certificate status, navigation, mobile usability, and basic accessibility.</w:t>
      </w:r>
    </w:p>
    <w:p>
      <w:pPr>
        <w:pStyle w:val="ListBullet"/>
        <w:spacing w:after="40"/>
      </w:pPr>
      <w:r>
        <w:t>Record security indicators only where there is reproducible evidence and testing is authorized.</w:t>
      </w:r>
    </w:p>
    <w:p>
      <w:pPr>
        <w:pStyle w:val="ListBullet"/>
        <w:spacing w:after="40"/>
      </w:pPr>
      <w:r>
        <w:t>Provide prioritized, practical recommendations and clearly separate confirmed findings from items awaiting verification.</w:t>
      </w:r>
    </w:p>
    <w:p>
      <w:pPr>
        <w:pStyle w:val="Heading1"/>
      </w:pPr>
      <w:r>
        <w:t>3. Scope and Method</w:t>
      </w:r>
    </w:p>
    <w:p>
      <w:r>
        <w:t>Primary directory: https://www.cabinet.gov.zm/?page_id=148 (the official Cabinet Office search result currently resolves to this directory page; the URL supplied in the original notes used page_id=2029).</w:t>
      </w:r>
    </w:p>
    <w:p>
      <w:r>
        <w:t>Method: manual review of the public directory and supplied domain list, plus planned non-invasive checks. The current draft does not claim that a comprehensive scan of every ministry website has been completed. No intrusive testing, authentication attempts, exploitation, or access to non-public data is included.</w:t>
      </w:r>
    </w:p>
    <w:p>
      <w:r>
        <w:t>For each site, record the date/time, exact URL, expected result, actual result, evidence reference (screenshot or saved output), verification status, impact, and recommended action.</w:t>
      </w:r>
    </w:p>
    <w:p>
      <w:pPr>
        <w:pStyle w:val="Heading1"/>
      </w:pPr>
      <w:r>
        <w:t>4. Findings</w:t>
      </w:r>
    </w:p>
    <w:p>
      <w:pPr>
        <w:pStyle w:val="Heading2"/>
      </w:pPr>
      <w:r>
        <w:t>4.1 Cabinet Office directory — content and data quality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rFonts w:ascii="Arial" w:hAnsi="Arial"/>
                <w:b/>
                <w:color w:val="FFFFFF"/>
                <w:sz w:val="16"/>
              </w:rPr>
              <w:t>ID</w:t>
            </w:r>
          </w:p>
        </w:tc>
        <w:tc>
          <w:tcPr>
            <w:tcW w:type="dxa" w:w="2016"/>
            <w:vAlign w:val="center"/>
            <w:shd w:fill="1F4E79"/>
          </w:tcPr>
          <w:p>
            <w:pPr>
              <w:spacing w:after="0"/>
            </w:pPr>
            <w:r/>
            <w:r>
              <w:rPr>
                <w:rFonts w:ascii="Arial" w:hAnsi="Arial"/>
                <w:b/>
                <w:color w:val="FFFFFF"/>
                <w:sz w:val="16"/>
              </w:rPr>
              <w:t>Observation</w:t>
            </w:r>
          </w:p>
        </w:tc>
        <w:tc>
          <w:tcPr>
            <w:tcW w:type="dxa" w:w="2016"/>
            <w:vAlign w:val="center"/>
            <w:shd w:fill="1F4E79"/>
          </w:tcPr>
          <w:p>
            <w:pPr>
              <w:spacing w:after="0"/>
            </w:pPr>
            <w:r/>
            <w:r>
              <w:rPr>
                <w:rFonts w:ascii="Arial" w:hAnsi="Arial"/>
                <w:b/>
                <w:color w:val="FFFFFF"/>
                <w:sz w:val="16"/>
              </w:rPr>
              <w:t>Status</w:t>
            </w:r>
          </w:p>
        </w:tc>
        <w:tc>
          <w:tcPr>
            <w:tcW w:type="dxa" w:w="2016"/>
            <w:vAlign w:val="center"/>
            <w:shd w:fill="1F4E79"/>
          </w:tcPr>
          <w:p>
            <w:pPr>
              <w:spacing w:after="0"/>
            </w:pPr>
            <w:r/>
            <w:r>
              <w:rPr>
                <w:rFonts w:ascii="Arial" w:hAnsi="Arial"/>
                <w:b/>
                <w:color w:val="FFFFFF"/>
                <w:sz w:val="16"/>
              </w:rPr>
              <w:t>Potential impact</w:t>
            </w:r>
          </w:p>
        </w:tc>
        <w:tc>
          <w:tcPr>
            <w:tcW w:type="dxa" w:w="2016"/>
            <w:vAlign w:val="center"/>
            <w:shd w:fill="1F4E79"/>
          </w:tcPr>
          <w:p>
            <w:pPr>
              <w:spacing w:after="0"/>
            </w:pPr>
            <w:r/>
            <w:r>
              <w:rPr>
                <w:rFonts w:ascii="Arial" w:hAnsi="Arial"/>
                <w:b/>
                <w:color w:val="FFFFFF"/>
                <w:sz w:val="16"/>
              </w:rPr>
              <w:t>Recommended action</w:t>
            </w:r>
          </w:p>
        </w:tc>
      </w:tr>
      <w:tr>
        <w:tc>
          <w:tcPr>
            <w:tcW w:type="dxa" w:w="2016"/>
            <w:vAlign w:val="center"/>
          </w:tcPr>
          <w:p>
            <w:pPr>
              <w:spacing w:after="0"/>
            </w:pPr>
            <w:r/>
            <w:r>
              <w:rPr>
                <w:rFonts w:ascii="Arial" w:hAnsi="Arial"/>
                <w:b w:val="0"/>
                <w:sz w:val="15"/>
              </w:rPr>
              <w:t>DIR-01</w:t>
            </w:r>
          </w:p>
        </w:tc>
        <w:tc>
          <w:tcPr>
            <w:tcW w:type="dxa" w:w="2016"/>
            <w:vAlign w:val="center"/>
          </w:tcPr>
          <w:p>
            <w:pPr>
              <w:spacing w:after="0"/>
            </w:pPr>
            <w:r/>
            <w:r>
              <w:rPr>
                <w:rFonts w:ascii="Arial" w:hAnsi="Arial"/>
                <w:b w:val="0"/>
                <w:sz w:val="15"/>
              </w:rPr>
              <w:t>The ministry list displays “Ministry of Infromation and Media” (apparent misspelling).</w:t>
            </w:r>
          </w:p>
        </w:tc>
        <w:tc>
          <w:tcPr>
            <w:tcW w:type="dxa" w:w="2016"/>
            <w:vAlign w:val="center"/>
          </w:tcPr>
          <w:p>
            <w:pPr>
              <w:spacing w:after="0"/>
            </w:pPr>
            <w:r/>
            <w:r>
              <w:rPr>
                <w:rFonts w:ascii="Arial" w:hAnsi="Arial"/>
                <w:b w:val="0"/>
                <w:sz w:val="15"/>
              </w:rPr>
              <w:t>Observed in directory text; capture screenshot before final issue.</w:t>
            </w:r>
          </w:p>
        </w:tc>
        <w:tc>
          <w:tcPr>
            <w:tcW w:type="dxa" w:w="2016"/>
            <w:vAlign w:val="center"/>
          </w:tcPr>
          <w:p>
            <w:pPr>
              <w:spacing w:after="0"/>
            </w:pPr>
            <w:r/>
            <w:r>
              <w:rPr>
                <w:rFonts w:ascii="Arial" w:hAnsi="Arial"/>
                <w:b w:val="0"/>
                <w:sz w:val="15"/>
              </w:rPr>
              <w:t>May reduce professionalism and affect search/findability.</w:t>
            </w:r>
          </w:p>
        </w:tc>
        <w:tc>
          <w:tcPr>
            <w:tcW w:type="dxa" w:w="2016"/>
            <w:vAlign w:val="center"/>
          </w:tcPr>
          <w:p>
            <w:pPr>
              <w:spacing w:after="0"/>
            </w:pPr>
            <w:r/>
            <w:r>
              <w:rPr>
                <w:rFonts w:ascii="Arial" w:hAnsi="Arial"/>
                <w:b w:val="0"/>
                <w:sz w:val="15"/>
              </w:rPr>
              <w:t>Correct the spelling after confirming the ministry’s official name; check the page and related navigation labels.</w:t>
            </w:r>
          </w:p>
        </w:tc>
      </w:tr>
      <w:tr>
        <w:tc>
          <w:tcPr>
            <w:tcW w:type="dxa" w:w="2016"/>
            <w:vAlign w:val="center"/>
          </w:tcPr>
          <w:p>
            <w:pPr>
              <w:spacing w:after="0"/>
            </w:pPr>
            <w:r/>
            <w:r>
              <w:rPr>
                <w:rFonts w:ascii="Arial" w:hAnsi="Arial"/>
                <w:b w:val="0"/>
                <w:sz w:val="15"/>
              </w:rPr>
              <w:t>DIR-02</w:t>
            </w:r>
          </w:p>
        </w:tc>
        <w:tc>
          <w:tcPr>
            <w:tcW w:type="dxa" w:w="2016"/>
            <w:vAlign w:val="center"/>
          </w:tcPr>
          <w:p>
            <w:pPr>
              <w:spacing w:after="0"/>
            </w:pPr>
            <w:r/>
            <w:r>
              <w:rPr>
                <w:rFonts w:ascii="Arial" w:hAnsi="Arial"/>
                <w:b w:val="0"/>
                <w:sz w:val="15"/>
              </w:rPr>
              <w:t>The directory displays “Ministry of Youth, Sports and Art”; official naming may use “Arts.”</w:t>
            </w:r>
          </w:p>
        </w:tc>
        <w:tc>
          <w:tcPr>
            <w:tcW w:type="dxa" w:w="2016"/>
            <w:vAlign w:val="center"/>
          </w:tcPr>
          <w:p>
            <w:pPr>
              <w:spacing w:after="0"/>
            </w:pPr>
            <w:r/>
            <w:r>
              <w:rPr>
                <w:rFonts w:ascii="Arial" w:hAnsi="Arial"/>
                <w:b w:val="0"/>
                <w:sz w:val="15"/>
              </w:rPr>
              <w:t>Needs verification against current official ministry source.</w:t>
            </w:r>
          </w:p>
        </w:tc>
        <w:tc>
          <w:tcPr>
            <w:tcW w:type="dxa" w:w="2016"/>
            <w:vAlign w:val="center"/>
          </w:tcPr>
          <w:p>
            <w:pPr>
              <w:spacing w:after="0"/>
            </w:pPr>
            <w:r/>
            <w:r>
              <w:rPr>
                <w:rFonts w:ascii="Arial" w:hAnsi="Arial"/>
                <w:b w:val="0"/>
                <w:sz w:val="15"/>
              </w:rPr>
              <w:t>Inconsistent naming may confuse visitors and reduce trust.</w:t>
            </w:r>
          </w:p>
        </w:tc>
        <w:tc>
          <w:tcPr>
            <w:tcW w:type="dxa" w:w="2016"/>
            <w:vAlign w:val="center"/>
          </w:tcPr>
          <w:p>
            <w:pPr>
              <w:spacing w:after="0"/>
            </w:pPr>
            <w:r/>
            <w:r>
              <w:rPr>
                <w:rFonts w:ascii="Arial" w:hAnsi="Arial"/>
                <w:b w:val="0"/>
                <w:sz w:val="15"/>
              </w:rPr>
              <w:t>Confirm the current official name and use it consistently across the directory.</w:t>
            </w:r>
          </w:p>
        </w:tc>
      </w:tr>
      <w:tr>
        <w:tc>
          <w:tcPr>
            <w:tcW w:type="dxa" w:w="2016"/>
            <w:vAlign w:val="center"/>
          </w:tcPr>
          <w:p>
            <w:pPr>
              <w:spacing w:after="0"/>
            </w:pPr>
            <w:r/>
            <w:r>
              <w:rPr>
                <w:rFonts w:ascii="Arial" w:hAnsi="Arial"/>
                <w:b w:val="0"/>
                <w:sz w:val="15"/>
              </w:rPr>
              <w:t>DIR-03</w:t>
            </w:r>
          </w:p>
        </w:tc>
        <w:tc>
          <w:tcPr>
            <w:tcW w:type="dxa" w:w="2016"/>
            <w:vAlign w:val="center"/>
          </w:tcPr>
          <w:p>
            <w:pPr>
              <w:spacing w:after="0"/>
            </w:pPr>
            <w:r/>
            <w:r>
              <w:rPr>
                <w:rFonts w:ascii="Arial" w:hAnsi="Arial"/>
                <w:b w:val="0"/>
                <w:sz w:val="15"/>
              </w:rPr>
              <w:t>Directory entries should be checked for completeness and consistency of website, email, phone, and address fields.</w:t>
            </w:r>
          </w:p>
        </w:tc>
        <w:tc>
          <w:tcPr>
            <w:tcW w:type="dxa" w:w="2016"/>
            <w:vAlign w:val="center"/>
          </w:tcPr>
          <w:p>
            <w:pPr>
              <w:spacing w:after="0"/>
            </w:pPr>
            <w:r/>
            <w:r>
              <w:rPr>
                <w:rFonts w:ascii="Arial" w:hAnsi="Arial"/>
                <w:b w:val="0"/>
                <w:sz w:val="15"/>
              </w:rPr>
              <w:t>Audit task / not yet measured for every entry.</w:t>
            </w:r>
          </w:p>
        </w:tc>
        <w:tc>
          <w:tcPr>
            <w:tcW w:type="dxa" w:w="2016"/>
            <w:vAlign w:val="center"/>
          </w:tcPr>
          <w:p>
            <w:pPr>
              <w:spacing w:after="0"/>
            </w:pPr>
            <w:r/>
            <w:r>
              <w:rPr>
                <w:rFonts w:ascii="Arial" w:hAnsi="Arial"/>
                <w:b w:val="0"/>
                <w:sz w:val="15"/>
              </w:rPr>
              <w:t>Missing or stale contacts can prevent citizens from reaching the correct institution.</w:t>
            </w:r>
          </w:p>
        </w:tc>
        <w:tc>
          <w:tcPr>
            <w:tcW w:type="dxa" w:w="2016"/>
            <w:vAlign w:val="center"/>
          </w:tcPr>
          <w:p>
            <w:pPr>
              <w:spacing w:after="0"/>
            </w:pPr>
            <w:r/>
            <w:r>
              <w:rPr>
                <w:rFonts w:ascii="Arial" w:hAnsi="Arial"/>
                <w:b w:val="0"/>
                <w:sz w:val="15"/>
              </w:rPr>
              <w:t>Create a row-by-row register and compare each field with the ministry’s official website or verified government contact source.</w:t>
            </w:r>
          </w:p>
        </w:tc>
      </w:tr>
      <w:tr>
        <w:tc>
          <w:tcPr>
            <w:tcW w:type="dxa" w:w="2016"/>
            <w:vAlign w:val="center"/>
          </w:tcPr>
          <w:p>
            <w:pPr>
              <w:spacing w:after="0"/>
            </w:pPr>
            <w:r/>
            <w:r>
              <w:rPr>
                <w:rFonts w:ascii="Arial" w:hAnsi="Arial"/>
                <w:b w:val="0"/>
                <w:sz w:val="15"/>
              </w:rPr>
              <w:t>DIR-04</w:t>
            </w:r>
          </w:p>
        </w:tc>
        <w:tc>
          <w:tcPr>
            <w:tcW w:type="dxa" w:w="2016"/>
            <w:vAlign w:val="center"/>
          </w:tcPr>
          <w:p>
            <w:pPr>
              <w:spacing w:after="0"/>
            </w:pPr>
            <w:r/>
            <w:r>
              <w:rPr>
                <w:rFonts w:ascii="Arial" w:hAnsi="Arial"/>
                <w:b w:val="0"/>
                <w:sz w:val="15"/>
              </w:rPr>
              <w:t>Each “Visit Site” link should be tested to ensure it reaches the intended official ministry domain.</w:t>
            </w:r>
          </w:p>
        </w:tc>
        <w:tc>
          <w:tcPr>
            <w:tcW w:type="dxa" w:w="2016"/>
            <w:vAlign w:val="center"/>
          </w:tcPr>
          <w:p>
            <w:pPr>
              <w:spacing w:after="0"/>
            </w:pPr>
            <w:r/>
            <w:r>
              <w:rPr>
                <w:rFonts w:ascii="Arial" w:hAnsi="Arial"/>
                <w:b w:val="0"/>
                <w:sz w:val="15"/>
              </w:rPr>
              <w:t>Audit task / individual results not recorded in supplied notes.</w:t>
            </w:r>
          </w:p>
        </w:tc>
        <w:tc>
          <w:tcPr>
            <w:tcW w:type="dxa" w:w="2016"/>
            <w:vAlign w:val="center"/>
          </w:tcPr>
          <w:p>
            <w:pPr>
              <w:spacing w:after="0"/>
            </w:pPr>
            <w:r/>
            <w:r>
              <w:rPr>
                <w:rFonts w:ascii="Arial" w:hAnsi="Arial"/>
                <w:b w:val="0"/>
                <w:sz w:val="15"/>
              </w:rPr>
              <w:t>Broken, redirected, or incorrect links can disrupt access to government services.</w:t>
            </w:r>
          </w:p>
        </w:tc>
        <w:tc>
          <w:tcPr>
            <w:tcW w:type="dxa" w:w="2016"/>
            <w:vAlign w:val="center"/>
          </w:tcPr>
          <w:p>
            <w:pPr>
              <w:spacing w:after="0"/>
            </w:pPr>
            <w:r/>
            <w:r>
              <w:rPr>
                <w:rFonts w:ascii="Arial" w:hAnsi="Arial"/>
                <w:b w:val="0"/>
                <w:sz w:val="15"/>
              </w:rPr>
              <w:t>Record the link target and final destination for every entry; flag broken or unexpected destinations for review.</w:t>
            </w:r>
          </w:p>
        </w:tc>
      </w:tr>
    </w:tbl>
    <w:p>
      <w:pPr>
        <w:pStyle w:val="Heading2"/>
      </w:pPr>
      <w:r>
        <w:t>4.2 Ministry website observations supplied for review</w:t>
      </w:r>
    </w:p>
    <w:p>
      <w:r>
        <w:t>The following domain/issue details were supplied in the draft notes. They have not been independently confirmed in this report and should be treated as a verification queue, not a list of established vulnerabilities. Confirm each domain through the official Cabinet Office directory before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Arial" w:hAnsi="Arial"/>
                <w:b/>
                <w:color w:val="FFFFFF"/>
                <w:sz w:val="16"/>
              </w:rPr>
              <w:t>Ministry / entry</w:t>
            </w:r>
          </w:p>
        </w:tc>
        <w:tc>
          <w:tcPr>
            <w:tcW w:type="dxa" w:w="2520"/>
            <w:vAlign w:val="center"/>
            <w:shd w:fill="1F4E79"/>
          </w:tcPr>
          <w:p>
            <w:pPr>
              <w:spacing w:after="0"/>
            </w:pPr>
            <w:r/>
            <w:r>
              <w:rPr>
                <w:rFonts w:ascii="Arial" w:hAnsi="Arial"/>
                <w:b/>
                <w:color w:val="FFFFFF"/>
                <w:sz w:val="16"/>
              </w:rPr>
              <w:t>Domain supplied</w:t>
            </w:r>
          </w:p>
        </w:tc>
        <w:tc>
          <w:tcPr>
            <w:tcW w:type="dxa" w:w="2520"/>
            <w:vAlign w:val="center"/>
            <w:shd w:fill="1F4E79"/>
          </w:tcPr>
          <w:p>
            <w:pPr>
              <w:spacing w:after="0"/>
            </w:pPr>
            <w:r/>
            <w:r>
              <w:rPr>
                <w:rFonts w:ascii="Arial" w:hAnsi="Arial"/>
                <w:b/>
                <w:color w:val="FFFFFF"/>
                <w:sz w:val="16"/>
              </w:rPr>
              <w:t>Reported observation</w:t>
            </w:r>
          </w:p>
        </w:tc>
        <w:tc>
          <w:tcPr>
            <w:tcW w:type="dxa" w:w="2520"/>
            <w:vAlign w:val="center"/>
            <w:shd w:fill="1F4E79"/>
          </w:tcPr>
          <w:p>
            <w:pPr>
              <w:spacing w:after="0"/>
            </w:pPr>
            <w:r/>
            <w:r>
              <w:rPr>
                <w:rFonts w:ascii="Arial" w:hAnsi="Arial"/>
                <w:b/>
                <w:color w:val="FFFFFF"/>
                <w:sz w:val="16"/>
              </w:rPr>
              <w:t>Current audit status</w:t>
            </w:r>
          </w:p>
        </w:tc>
      </w:tr>
      <w:tr>
        <w:tc>
          <w:tcPr>
            <w:tcW w:type="dxa" w:w="2520"/>
            <w:vAlign w:val="center"/>
          </w:tcPr>
          <w:p>
            <w:pPr>
              <w:spacing w:after="0"/>
            </w:pPr>
            <w:r/>
            <w:r>
              <w:rPr>
                <w:rFonts w:ascii="Arial" w:hAnsi="Arial"/>
                <w:b w:val="0"/>
                <w:sz w:val="14"/>
              </w:rPr>
              <w:t>Finance and National Planning</w:t>
            </w:r>
          </w:p>
        </w:tc>
        <w:tc>
          <w:tcPr>
            <w:tcW w:type="dxa" w:w="2520"/>
            <w:vAlign w:val="center"/>
          </w:tcPr>
          <w:p>
            <w:pPr>
              <w:spacing w:after="0"/>
            </w:pPr>
            <w:r/>
            <w:r>
              <w:rPr>
                <w:rFonts w:ascii="Arial" w:hAnsi="Arial"/>
                <w:b w:val="0"/>
                <w:sz w:val="14"/>
              </w:rPr>
              <w:t>mofnp.gov.zm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confirm official link, technology and security controls.</w:t>
            </w:r>
          </w:p>
        </w:tc>
      </w:tr>
      <w:tr>
        <w:tc>
          <w:tcPr>
            <w:tcW w:type="dxa" w:w="2520"/>
            <w:vAlign w:val="center"/>
          </w:tcPr>
          <w:p>
            <w:pPr>
              <w:spacing w:after="0"/>
            </w:pPr>
            <w:r/>
            <w:r>
              <w:rPr>
                <w:rFonts w:ascii="Arial" w:hAnsi="Arial"/>
                <w:b w:val="0"/>
                <w:sz w:val="14"/>
              </w:rPr>
              <w:t>Health</w:t>
            </w:r>
          </w:p>
        </w:tc>
        <w:tc>
          <w:tcPr>
            <w:tcW w:type="dxa" w:w="2520"/>
            <w:vAlign w:val="center"/>
          </w:tcPr>
          <w:p>
            <w:pPr>
              <w:spacing w:after="0"/>
            </w:pPr>
            <w:r/>
            <w:r>
              <w:rPr>
                <w:rFonts w:ascii="Arial" w:hAnsi="Arial"/>
                <w:b w:val="0"/>
                <w:sz w:val="14"/>
              </w:rPr>
              <w:t>moh.gov.zm</w:t>
            </w:r>
          </w:p>
        </w:tc>
        <w:tc>
          <w:tcPr>
            <w:tcW w:type="dxa" w:w="2520"/>
            <w:vAlign w:val="center"/>
          </w:tcPr>
          <w:p>
            <w:pPr>
              <w:spacing w:after="0"/>
            </w:pPr>
            <w:r/>
            <w:r>
              <w:rPr>
                <w:rFonts w:ascii="Arial" w:hAnsi="Arial"/>
                <w:b w:val="0"/>
                <w:sz w:val="14"/>
              </w:rPr>
              <w:t>Public login page; possible PHP CMS and custom registry</w:t>
            </w:r>
          </w:p>
        </w:tc>
        <w:tc>
          <w:tcPr>
            <w:tcW w:type="dxa" w:w="2520"/>
            <w:vAlign w:val="center"/>
          </w:tcPr>
          <w:p>
            <w:pPr>
              <w:spacing w:after="0"/>
            </w:pPr>
            <w:r/>
            <w:r>
              <w:rPr>
                <w:rFonts w:ascii="Arial" w:hAnsi="Arial"/>
                <w:b w:val="0"/>
                <w:sz w:val="14"/>
              </w:rPr>
              <w:t>Unverified; login availability alone is not a vulnerability.</w:t>
            </w:r>
          </w:p>
        </w:tc>
      </w:tr>
      <w:tr>
        <w:tc>
          <w:tcPr>
            <w:tcW w:type="dxa" w:w="2520"/>
            <w:vAlign w:val="center"/>
          </w:tcPr>
          <w:p>
            <w:pPr>
              <w:spacing w:after="0"/>
            </w:pPr>
            <w:r/>
            <w:r>
              <w:rPr>
                <w:rFonts w:ascii="Arial" w:hAnsi="Arial"/>
                <w:b w:val="0"/>
                <w:sz w:val="14"/>
              </w:rPr>
              <w:t>Education</w:t>
            </w:r>
          </w:p>
        </w:tc>
        <w:tc>
          <w:tcPr>
            <w:tcW w:type="dxa" w:w="2520"/>
            <w:vAlign w:val="center"/>
          </w:tcPr>
          <w:p>
            <w:pPr>
              <w:spacing w:after="0"/>
            </w:pPr>
            <w:r/>
            <w:r>
              <w:rPr>
                <w:rFonts w:ascii="Arial" w:hAnsi="Arial"/>
                <w:b w:val="0"/>
                <w:sz w:val="14"/>
              </w:rPr>
              <w:t>edu.gov.zm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Tourism</w:t>
            </w:r>
          </w:p>
        </w:tc>
        <w:tc>
          <w:tcPr>
            <w:tcW w:type="dxa" w:w="2520"/>
            <w:vAlign w:val="center"/>
          </w:tcPr>
          <w:p>
            <w:pPr>
              <w:spacing w:after="0"/>
            </w:pPr>
            <w:r/>
            <w:r>
              <w:rPr>
                <w:rFonts w:ascii="Arial" w:hAnsi="Arial"/>
                <w:b w:val="0"/>
                <w:sz w:val="14"/>
              </w:rPr>
              <w:t>mot.gov.zm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Transport and Logistics</w:t>
            </w:r>
          </w:p>
        </w:tc>
        <w:tc>
          <w:tcPr>
            <w:tcW w:type="dxa" w:w="2520"/>
            <w:vAlign w:val="center"/>
          </w:tcPr>
          <w:p>
            <w:pPr>
              <w:spacing w:after="0"/>
            </w:pPr>
            <w:r/>
            <w:r>
              <w:rPr>
                <w:rFonts w:ascii="Arial" w:hAnsi="Arial"/>
                <w:b w:val="0"/>
                <w:sz w:val="14"/>
              </w:rPr>
              <w:t>motl.gov.zm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Information and Media</w:t>
            </w:r>
          </w:p>
        </w:tc>
        <w:tc>
          <w:tcPr>
            <w:tcW w:type="dxa" w:w="2520"/>
            <w:vAlign w:val="center"/>
          </w:tcPr>
          <w:p>
            <w:pPr>
              <w:spacing w:after="0"/>
            </w:pPr>
            <w:r/>
            <w:r>
              <w:rPr>
                <w:rFonts w:ascii="Arial" w:hAnsi="Arial"/>
                <w:b w:val="0"/>
                <w:sz w:val="14"/>
              </w:rPr>
              <w:t>mim.gov.zm</w:t>
            </w:r>
          </w:p>
        </w:tc>
        <w:tc>
          <w:tcPr>
            <w:tcW w:type="dxa" w:w="2520"/>
            <w:vAlign w:val="center"/>
          </w:tcPr>
          <w:p>
            <w:pPr>
              <w:spacing w:after="0"/>
            </w:pPr>
            <w:r/>
            <w:r>
              <w:rPr>
                <w:rFonts w:ascii="Arial" w:hAnsi="Arial"/>
                <w:b w:val="0"/>
                <w:sz w:val="14"/>
              </w:rPr>
              <w:t>Reported exposure of server/machine/file directories or unexpected directory content</w:t>
            </w:r>
          </w:p>
        </w:tc>
        <w:tc>
          <w:tcPr>
            <w:tcW w:type="dxa" w:w="2520"/>
            <w:vAlign w:val="center"/>
          </w:tcPr>
          <w:p>
            <w:pPr>
              <w:spacing w:after="0"/>
            </w:pPr>
            <w:r/>
            <w:r>
              <w:rPr>
                <w:rFonts w:ascii="Arial" w:hAnsi="Arial"/>
                <w:b w:val="0"/>
                <w:sz w:val="14"/>
              </w:rPr>
              <w:t>Potentially serious if confirmed; preserve evidence and escalate to the authorized site administrator. Do not infer backend compromise without proof.</w:t>
            </w:r>
          </w:p>
        </w:tc>
      </w:tr>
      <w:tr>
        <w:tc>
          <w:tcPr>
            <w:tcW w:type="dxa" w:w="2520"/>
            <w:vAlign w:val="center"/>
          </w:tcPr>
          <w:p>
            <w:pPr>
              <w:spacing w:after="0"/>
            </w:pPr>
            <w:r/>
            <w:r>
              <w:rPr>
                <w:rFonts w:ascii="Arial" w:hAnsi="Arial"/>
                <w:b w:val="0"/>
                <w:sz w:val="14"/>
              </w:rPr>
              <w:t>Technology and Science</w:t>
            </w:r>
          </w:p>
        </w:tc>
        <w:tc>
          <w:tcPr>
            <w:tcW w:type="dxa" w:w="2520"/>
            <w:vAlign w:val="center"/>
          </w:tcPr>
          <w:p>
            <w:pPr>
              <w:spacing w:after="0"/>
            </w:pPr>
            <w:r/>
            <w:r>
              <w:rPr>
                <w:rFonts w:ascii="Arial" w:hAnsi="Arial"/>
                <w:b w:val="0"/>
                <w:sz w:val="14"/>
              </w:rPr>
              <w:t>mots.gov.zm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Community Development and Social Services</w:t>
            </w:r>
          </w:p>
        </w:tc>
        <w:tc>
          <w:tcPr>
            <w:tcW w:type="dxa" w:w="2520"/>
            <w:vAlign w:val="center"/>
          </w:tcPr>
          <w:p>
            <w:pPr>
              <w:spacing w:after="0"/>
            </w:pPr>
            <w:r/>
            <w:r>
              <w:rPr>
                <w:rFonts w:ascii="Arial" w:hAnsi="Arial"/>
                <w:b w:val="0"/>
                <w:sz w:val="14"/>
              </w:rPr>
              <w:t>mcdss.gov.zm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Youth, Sports and Arts</w:t>
            </w:r>
          </w:p>
        </w:tc>
        <w:tc>
          <w:tcPr>
            <w:tcW w:type="dxa" w:w="2520"/>
            <w:vAlign w:val="center"/>
          </w:tcPr>
          <w:p>
            <w:pPr>
              <w:spacing w:after="0"/>
            </w:pPr>
            <w:r/>
            <w:r>
              <w:rPr>
                <w:rFonts w:ascii="Arial" w:hAnsi="Arial"/>
                <w:b w:val="0"/>
                <w:sz w:val="14"/>
              </w:rPr>
              <w:t>mysa.gov.zm</w:t>
            </w:r>
          </w:p>
        </w:tc>
        <w:tc>
          <w:tcPr>
            <w:tcW w:type="dxa" w:w="2520"/>
            <w:vAlign w:val="center"/>
          </w:tcPr>
          <w:p>
            <w:pPr>
              <w:spacing w:after="0"/>
            </w:pPr>
            <w:r/>
            <w:r>
              <w:rPr>
                <w:rFonts w:ascii="Arial" w:hAnsi="Arial"/>
                <w:b w:val="0"/>
                <w:sz w:val="14"/>
              </w:rPr>
              <w:t>Public login page and possible PHP-based CMS</w:t>
            </w:r>
          </w:p>
        </w:tc>
        <w:tc>
          <w:tcPr>
            <w:tcW w:type="dxa" w:w="2520"/>
            <w:vAlign w:val="center"/>
          </w:tcPr>
          <w:p>
            <w:pPr>
              <w:spacing w:after="0"/>
            </w:pPr>
            <w:r/>
            <w:r>
              <w:rPr>
                <w:rFonts w:ascii="Arial" w:hAnsi="Arial"/>
                <w:b w:val="0"/>
                <w:sz w:val="14"/>
              </w:rPr>
              <w:t>Unverified; verify domain and technical details.</w:t>
            </w:r>
          </w:p>
        </w:tc>
      </w:tr>
      <w:tr>
        <w:tc>
          <w:tcPr>
            <w:tcW w:type="dxa" w:w="2520"/>
            <w:vAlign w:val="center"/>
          </w:tcPr>
          <w:p>
            <w:pPr>
              <w:spacing w:after="0"/>
            </w:pPr>
            <w:r/>
            <w:r>
              <w:rPr>
                <w:rFonts w:ascii="Arial" w:hAnsi="Arial"/>
                <w:b w:val="0"/>
                <w:sz w:val="14"/>
              </w:rPr>
              <w:t>Other ministries</w:t>
            </w:r>
          </w:p>
        </w:tc>
        <w:tc>
          <w:tcPr>
            <w:tcW w:type="dxa" w:w="2520"/>
            <w:vAlign w:val="center"/>
          </w:tcPr>
          <w:p>
            <w:pPr>
              <w:spacing w:after="0"/>
            </w:pPr>
            <w:r/>
            <w:r>
              <w:rPr>
                <w:rFonts w:ascii="Arial" w:hAnsi="Arial"/>
                <w:b w:val="0"/>
                <w:sz w:val="14"/>
              </w:rPr>
              <w:t>Various</w:t>
            </w:r>
          </w:p>
        </w:tc>
        <w:tc>
          <w:tcPr>
            <w:tcW w:type="dxa" w:w="2520"/>
            <w:vAlign w:val="center"/>
          </w:tcPr>
          <w:p>
            <w:pPr>
              <w:spacing w:after="0"/>
            </w:pPr>
            <w:r/>
            <w:r>
              <w:rPr>
                <w:rFonts w:ascii="Arial" w:hAnsi="Arial"/>
                <w:b w:val="0"/>
                <w:sz w:val="14"/>
              </w:rPr>
              <w:t>General note that login pages and PHP CMS may be present</w:t>
            </w:r>
          </w:p>
        </w:tc>
        <w:tc>
          <w:tcPr>
            <w:tcW w:type="dxa" w:w="2520"/>
            <w:vAlign w:val="center"/>
          </w:tcPr>
          <w:p>
            <w:pPr>
              <w:spacing w:after="0"/>
            </w:pPr>
            <w:r/>
            <w:r>
              <w:rPr>
                <w:rFonts w:ascii="Arial" w:hAnsi="Arial"/>
                <w:b w:val="0"/>
                <w:sz w:val="14"/>
              </w:rPr>
              <w:t>Insufficiently specific; record each ministry and test result separately.</w:t>
            </w:r>
          </w:p>
        </w:tc>
      </w:tr>
    </w:tbl>
    <w:p>
      <w:pPr>
        <w:pStyle w:val="Heading2"/>
      </w:pPr>
      <w:r>
        <w:t>4.3 Interpreting login pages correctly</w:t>
      </w:r>
    </w:p>
    <w:p>
      <w:r>
        <w:t>A publicly reachable login page is not, by itself, proof of a vulnerability. A defensible finding needs evidence of a specific weakness, such as missing or ineffective rate limiting confirmed through an approved test, insecure transport, a known vulnerable component, or an access-control flaw. Do not perform password guessing, credential stuffing, or bypass attempts as part of this audit.</w:t>
      </w:r>
    </w:p>
    <w:p>
      <w:pPr>
        <w:pStyle w:val="Heading2"/>
      </w:pPr>
      <w:r>
        <w:t>4.4 PHP security advisory — relevance and limitations</w:t>
      </w:r>
    </w:p>
    <w:p>
      <w:r>
        <w:t>The PHP project’s 21 October 2026 security advisory identifies CVE-2026-109618 and CVE-2026-109619 and lists patched releases PHP 8.5.12, 8.4.27, 8.3.36, and 8.2.35. The advisory says the vulnerabilities can allow unauthenticated remote code execution in affected PHP installations. PHP 8.1 and older are no longer supported by the PHP project, although some operating-system or long-term-support vendors may backport security fixes.</w:t>
      </w:r>
    </w:p>
    <w:p>
      <w:r>
        <w:t>Relevance to this audit: this is a reason for system owners to inventory PHP versions and patch status. It is not evidence that any particular ministry site is vulnerable. A public website’s use of WordPress, Joomla, Drupal, or PHP cannot reliably establish the installed PHP version or whether vendor backports have been applied. The authorized hosting/system administrator should confirm versions and patch status from the server inventory.</w:t>
      </w:r>
    </w:p>
    <w:p>
      <w:pPr>
        <w:pStyle w:val="Heading1"/>
      </w:pPr>
      <w:r>
        <w:t>5. Preliminary Risk Treatment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rFonts w:ascii="Arial" w:hAnsi="Arial"/>
                <w:b/>
                <w:color w:val="FFFFFF"/>
                <w:sz w:val="16"/>
              </w:rPr>
              <w:t>Item</w:t>
            </w:r>
          </w:p>
        </w:tc>
        <w:tc>
          <w:tcPr>
            <w:tcW w:type="dxa" w:w="2520"/>
            <w:vAlign w:val="center"/>
            <w:shd w:fill="1F4E79"/>
          </w:tcPr>
          <w:p>
            <w:pPr>
              <w:spacing w:after="0"/>
            </w:pPr>
            <w:r/>
            <w:r>
              <w:rPr>
                <w:rFonts w:ascii="Arial" w:hAnsi="Arial"/>
                <w:b/>
                <w:color w:val="FFFFFF"/>
                <w:sz w:val="16"/>
              </w:rPr>
              <w:t>Provisional priority</w:t>
            </w:r>
          </w:p>
        </w:tc>
        <w:tc>
          <w:tcPr>
            <w:tcW w:type="dxa" w:w="2520"/>
            <w:vAlign w:val="center"/>
            <w:shd w:fill="1F4E79"/>
          </w:tcPr>
          <w:p>
            <w:pPr>
              <w:spacing w:after="0"/>
            </w:pPr>
            <w:r/>
            <w:r>
              <w:rPr>
                <w:rFonts w:ascii="Arial" w:hAnsi="Arial"/>
                <w:b/>
                <w:color w:val="FFFFFF"/>
                <w:sz w:val="16"/>
              </w:rPr>
              <w:t>Basis</w:t>
            </w:r>
          </w:p>
        </w:tc>
        <w:tc>
          <w:tcPr>
            <w:tcW w:type="dxa" w:w="2520"/>
            <w:vAlign w:val="center"/>
            <w:shd w:fill="1F4E79"/>
          </w:tcPr>
          <w:p>
            <w:pPr>
              <w:spacing w:after="0"/>
            </w:pPr>
            <w:r/>
            <w:r>
              <w:rPr>
                <w:rFonts w:ascii="Arial" w:hAnsi="Arial"/>
                <w:b/>
                <w:color w:val="FFFFFF"/>
                <w:sz w:val="16"/>
              </w:rPr>
              <w:t>Next step</w:t>
            </w:r>
          </w:p>
        </w:tc>
      </w:tr>
      <w:tr>
        <w:tc>
          <w:tcPr>
            <w:tcW w:type="dxa" w:w="2520"/>
            <w:vAlign w:val="center"/>
          </w:tcPr>
          <w:p>
            <w:pPr>
              <w:spacing w:after="0"/>
            </w:pPr>
            <w:r/>
            <w:r>
              <w:rPr>
                <w:rFonts w:ascii="Arial" w:hAnsi="Arial"/>
                <w:b w:val="0"/>
                <w:sz w:val="15"/>
              </w:rPr>
              <w:t>DIR-01 spelling issue</w:t>
            </w:r>
          </w:p>
        </w:tc>
        <w:tc>
          <w:tcPr>
            <w:tcW w:type="dxa" w:w="2520"/>
            <w:vAlign w:val="center"/>
          </w:tcPr>
          <w:p>
            <w:pPr>
              <w:spacing w:after="0"/>
            </w:pPr>
            <w:r/>
            <w:r>
              <w:rPr>
                <w:rFonts w:ascii="Arial" w:hAnsi="Arial"/>
                <w:b w:val="0"/>
                <w:sz w:val="15"/>
              </w:rPr>
              <w:t>Low</w:t>
            </w:r>
          </w:p>
        </w:tc>
        <w:tc>
          <w:tcPr>
            <w:tcW w:type="dxa" w:w="2520"/>
            <w:vAlign w:val="center"/>
          </w:tcPr>
          <w:p>
            <w:pPr>
              <w:spacing w:after="0"/>
            </w:pPr>
            <w:r/>
            <w:r>
              <w:rPr>
                <w:rFonts w:ascii="Arial" w:hAnsi="Arial"/>
                <w:b w:val="0"/>
                <w:sz w:val="15"/>
              </w:rPr>
              <w:t>Visible content-quality issue; no direct security impact established.</w:t>
            </w:r>
          </w:p>
        </w:tc>
        <w:tc>
          <w:tcPr>
            <w:tcW w:type="dxa" w:w="2520"/>
            <w:vAlign w:val="center"/>
          </w:tcPr>
          <w:p>
            <w:pPr>
              <w:spacing w:after="0"/>
            </w:pPr>
            <w:r/>
            <w:r>
              <w:rPr>
                <w:rFonts w:ascii="Arial" w:hAnsi="Arial"/>
                <w:b w:val="0"/>
                <w:sz w:val="15"/>
              </w:rPr>
              <w:t>Correct after confirmation.</w:t>
            </w:r>
          </w:p>
        </w:tc>
      </w:tr>
      <w:tr>
        <w:tc>
          <w:tcPr>
            <w:tcW w:type="dxa" w:w="2520"/>
            <w:vAlign w:val="center"/>
          </w:tcPr>
          <w:p>
            <w:pPr>
              <w:spacing w:after="0"/>
            </w:pPr>
            <w:r/>
            <w:r>
              <w:rPr>
                <w:rFonts w:ascii="Arial" w:hAnsi="Arial"/>
                <w:b w:val="0"/>
                <w:sz w:val="15"/>
              </w:rPr>
              <w:t>DIR-02 ministry naming</w:t>
            </w:r>
          </w:p>
        </w:tc>
        <w:tc>
          <w:tcPr>
            <w:tcW w:type="dxa" w:w="2520"/>
            <w:vAlign w:val="center"/>
          </w:tcPr>
          <w:p>
            <w:pPr>
              <w:spacing w:after="0"/>
            </w:pPr>
            <w:r/>
            <w:r>
              <w:rPr>
                <w:rFonts w:ascii="Arial" w:hAnsi="Arial"/>
                <w:b w:val="0"/>
                <w:sz w:val="15"/>
              </w:rPr>
              <w:t>Low / verify</w:t>
            </w:r>
          </w:p>
        </w:tc>
        <w:tc>
          <w:tcPr>
            <w:tcW w:type="dxa" w:w="2520"/>
            <w:vAlign w:val="center"/>
          </w:tcPr>
          <w:p>
            <w:pPr>
              <w:spacing w:after="0"/>
            </w:pPr>
            <w:r/>
            <w:r>
              <w:rPr>
                <w:rFonts w:ascii="Arial" w:hAnsi="Arial"/>
                <w:b w:val="0"/>
                <w:sz w:val="15"/>
              </w:rPr>
              <w:t>Possible naming inconsistency.</w:t>
            </w:r>
          </w:p>
        </w:tc>
        <w:tc>
          <w:tcPr>
            <w:tcW w:type="dxa" w:w="2520"/>
            <w:vAlign w:val="center"/>
          </w:tcPr>
          <w:p>
            <w:pPr>
              <w:spacing w:after="0"/>
            </w:pPr>
            <w:r/>
            <w:r>
              <w:rPr>
                <w:rFonts w:ascii="Arial" w:hAnsi="Arial"/>
                <w:b w:val="0"/>
                <w:sz w:val="15"/>
              </w:rPr>
              <w:t>Confirm official name.</w:t>
            </w:r>
          </w:p>
        </w:tc>
      </w:tr>
      <w:tr>
        <w:tc>
          <w:tcPr>
            <w:tcW w:type="dxa" w:w="2520"/>
            <w:vAlign w:val="center"/>
          </w:tcPr>
          <w:p>
            <w:pPr>
              <w:spacing w:after="0"/>
            </w:pPr>
            <w:r/>
            <w:r>
              <w:rPr>
                <w:rFonts w:ascii="Arial" w:hAnsi="Arial"/>
                <w:b w:val="0"/>
                <w:sz w:val="15"/>
              </w:rPr>
              <w:t>Missing or stale contact/link data</w:t>
            </w:r>
          </w:p>
        </w:tc>
        <w:tc>
          <w:tcPr>
            <w:tcW w:type="dxa" w:w="2520"/>
            <w:vAlign w:val="center"/>
          </w:tcPr>
          <w:p>
            <w:pPr>
              <w:spacing w:after="0"/>
            </w:pPr>
            <w:r/>
            <w:r>
              <w:rPr>
                <w:rFonts w:ascii="Arial" w:hAnsi="Arial"/>
                <w:b w:val="0"/>
                <w:sz w:val="15"/>
              </w:rPr>
              <w:t>To be assigned after testing</w:t>
            </w:r>
          </w:p>
        </w:tc>
        <w:tc>
          <w:tcPr>
            <w:tcW w:type="dxa" w:w="2520"/>
            <w:vAlign w:val="center"/>
          </w:tcPr>
          <w:p>
            <w:pPr>
              <w:spacing w:after="0"/>
            </w:pPr>
            <w:r/>
            <w:r>
              <w:rPr>
                <w:rFonts w:ascii="Arial" w:hAnsi="Arial"/>
                <w:b w:val="0"/>
                <w:sz w:val="15"/>
              </w:rPr>
              <w:t>Impact depends on actual entries and broken links.</w:t>
            </w:r>
          </w:p>
        </w:tc>
        <w:tc>
          <w:tcPr>
            <w:tcW w:type="dxa" w:w="2520"/>
            <w:vAlign w:val="center"/>
          </w:tcPr>
          <w:p>
            <w:pPr>
              <w:spacing w:after="0"/>
            </w:pPr>
            <w:r/>
            <w:r>
              <w:rPr>
                <w:rFonts w:ascii="Arial" w:hAnsi="Arial"/>
                <w:b w:val="0"/>
                <w:sz w:val="15"/>
              </w:rPr>
              <w:t>Complete register and retain evidence.</w:t>
            </w:r>
          </w:p>
        </w:tc>
      </w:tr>
      <w:tr>
        <w:tc>
          <w:tcPr>
            <w:tcW w:type="dxa" w:w="2520"/>
            <w:vAlign w:val="center"/>
          </w:tcPr>
          <w:p>
            <w:pPr>
              <w:spacing w:after="0"/>
            </w:pPr>
            <w:r/>
            <w:r>
              <w:rPr>
                <w:rFonts w:ascii="Arial" w:hAnsi="Arial"/>
                <w:b w:val="0"/>
                <w:sz w:val="15"/>
              </w:rPr>
              <w:t>Public login page</w:t>
            </w:r>
          </w:p>
        </w:tc>
        <w:tc>
          <w:tcPr>
            <w:tcW w:type="dxa" w:w="2520"/>
            <w:vAlign w:val="center"/>
          </w:tcPr>
          <w:p>
            <w:pPr>
              <w:spacing w:after="0"/>
            </w:pPr>
            <w:r/>
            <w:r>
              <w:rPr>
                <w:rFonts w:ascii="Arial" w:hAnsi="Arial"/>
                <w:b w:val="0"/>
                <w:sz w:val="15"/>
              </w:rPr>
              <w:t>Not rated without a demonstrated weakness</w:t>
            </w:r>
          </w:p>
        </w:tc>
        <w:tc>
          <w:tcPr>
            <w:tcW w:type="dxa" w:w="2520"/>
            <w:vAlign w:val="center"/>
          </w:tcPr>
          <w:p>
            <w:pPr>
              <w:spacing w:after="0"/>
            </w:pPr>
            <w:r/>
            <w:r>
              <w:rPr>
                <w:rFonts w:ascii="Arial" w:hAnsi="Arial"/>
                <w:b w:val="0"/>
                <w:sz w:val="15"/>
              </w:rPr>
              <w:t>Public reachability alone is not a vulnerability.</w:t>
            </w:r>
          </w:p>
        </w:tc>
        <w:tc>
          <w:tcPr>
            <w:tcW w:type="dxa" w:w="2520"/>
            <w:vAlign w:val="center"/>
          </w:tcPr>
          <w:p>
            <w:pPr>
              <w:spacing w:after="0"/>
            </w:pPr>
            <w:r/>
            <w:r>
              <w:rPr>
                <w:rFonts w:ascii="Arial" w:hAnsi="Arial"/>
                <w:b w:val="0"/>
                <w:sz w:val="15"/>
              </w:rPr>
              <w:t>Review authentication protections only under written authorization.</w:t>
            </w:r>
          </w:p>
        </w:tc>
      </w:tr>
      <w:tr>
        <w:tc>
          <w:tcPr>
            <w:tcW w:type="dxa" w:w="2520"/>
            <w:vAlign w:val="center"/>
          </w:tcPr>
          <w:p>
            <w:pPr>
              <w:spacing w:after="0"/>
            </w:pPr>
            <w:r/>
            <w:r>
              <w:rPr>
                <w:rFonts w:ascii="Arial" w:hAnsi="Arial"/>
                <w:b w:val="0"/>
                <w:sz w:val="15"/>
              </w:rPr>
              <w:t>Reported directory/server exposure on mim.gov.zm</w:t>
            </w:r>
          </w:p>
        </w:tc>
        <w:tc>
          <w:tcPr>
            <w:tcW w:type="dxa" w:w="2520"/>
            <w:vAlign w:val="center"/>
          </w:tcPr>
          <w:p>
            <w:pPr>
              <w:spacing w:after="0"/>
            </w:pPr>
            <w:r/>
            <w:r>
              <w:rPr>
                <w:rFonts w:ascii="Arial" w:hAnsi="Arial"/>
                <w:b w:val="0"/>
                <w:sz w:val="15"/>
              </w:rPr>
              <w:t>Urgent verification; potentially high impact if confirmed</w:t>
            </w:r>
          </w:p>
        </w:tc>
        <w:tc>
          <w:tcPr>
            <w:tcW w:type="dxa" w:w="2520"/>
            <w:vAlign w:val="center"/>
          </w:tcPr>
          <w:p>
            <w:pPr>
              <w:spacing w:after="0"/>
            </w:pPr>
            <w:r/>
            <w:r>
              <w:rPr>
                <w:rFonts w:ascii="Arial" w:hAnsi="Arial"/>
                <w:b w:val="0"/>
                <w:sz w:val="15"/>
              </w:rPr>
              <w:t>Supplied notes allege unintended file/server information exposure, but supporting evidence is not attached.</w:t>
            </w:r>
          </w:p>
        </w:tc>
        <w:tc>
          <w:tcPr>
            <w:tcW w:type="dxa" w:w="2520"/>
            <w:vAlign w:val="center"/>
          </w:tcPr>
          <w:p>
            <w:pPr>
              <w:spacing w:after="0"/>
            </w:pPr>
            <w:r/>
            <w:r>
              <w:rPr>
                <w:rFonts w:ascii="Arial" w:hAnsi="Arial"/>
                <w:b w:val="0"/>
                <w:sz w:val="15"/>
              </w:rPr>
              <w:t>Notify supervisor and authorized site administrator; capture only minimal public evidence; ask the owner to verify server configuration and logs.</w:t>
            </w:r>
          </w:p>
        </w:tc>
      </w:tr>
      <w:tr>
        <w:tc>
          <w:tcPr>
            <w:tcW w:type="dxa" w:w="2520"/>
            <w:vAlign w:val="center"/>
          </w:tcPr>
          <w:p>
            <w:pPr>
              <w:spacing w:after="0"/>
            </w:pPr>
            <w:r/>
            <w:r>
              <w:rPr>
                <w:rFonts w:ascii="Arial" w:hAnsi="Arial"/>
                <w:b w:val="0"/>
                <w:sz w:val="15"/>
              </w:rPr>
              <w:t>PHP CVEs</w:t>
            </w:r>
          </w:p>
        </w:tc>
        <w:tc>
          <w:tcPr>
            <w:tcW w:type="dxa" w:w="2520"/>
            <w:vAlign w:val="center"/>
          </w:tcPr>
          <w:p>
            <w:pPr>
              <w:spacing w:after="0"/>
            </w:pPr>
            <w:r/>
            <w:r>
              <w:rPr>
                <w:rFonts w:ascii="Arial" w:hAnsi="Arial"/>
                <w:b w:val="0"/>
                <w:sz w:val="15"/>
              </w:rPr>
              <w:t>Owner-side patch verification required</w:t>
            </w:r>
          </w:p>
        </w:tc>
        <w:tc>
          <w:tcPr>
            <w:tcW w:type="dxa" w:w="2520"/>
            <w:vAlign w:val="center"/>
          </w:tcPr>
          <w:p>
            <w:pPr>
              <w:spacing w:after="0"/>
            </w:pPr>
            <w:r/>
            <w:r>
              <w:rPr>
                <w:rFonts w:ascii="Arial" w:hAnsi="Arial"/>
                <w:b w:val="0"/>
                <w:sz w:val="15"/>
              </w:rPr>
              <w:t>Official advisory confirms critical PHP issues, but affected versions/configurations on listed sites are unknown.</w:t>
            </w:r>
          </w:p>
        </w:tc>
        <w:tc>
          <w:tcPr>
            <w:tcW w:type="dxa" w:w="2520"/>
            <w:vAlign w:val="center"/>
          </w:tcPr>
          <w:p>
            <w:pPr>
              <w:spacing w:after="0"/>
            </w:pPr>
            <w:r/>
            <w:r>
              <w:rPr>
                <w:rFonts w:ascii="Arial" w:hAnsi="Arial"/>
                <w:b w:val="0"/>
                <w:sz w:val="15"/>
              </w:rPr>
              <w:t>Ask authorized administrators to check inventory, vendor advisories and patch status.</w:t>
            </w:r>
          </w:p>
        </w:tc>
      </w:tr>
    </w:tbl>
    <w:p>
      <w:pPr>
        <w:pStyle w:val="Heading1"/>
      </w:pPr>
      <w:r>
        <w:t>6. Recommendations</w:t>
      </w:r>
    </w:p>
    <w:p>
      <w:pPr>
        <w:pStyle w:val="ListNumber"/>
        <w:spacing w:after="60"/>
      </w:pPr>
      <w:r>
        <w:rPr>
          <w:b/>
        </w:rPr>
        <w:t xml:space="preserve">Complete the directory register. </w:t>
      </w:r>
      <w:r>
        <w:t>List every ministry exactly as it appears on the Cabinet Office page; record the official destination URL, contact fields, link result, test date and evidence reference.</w:t>
      </w:r>
    </w:p>
    <w:p>
      <w:pPr>
        <w:pStyle w:val="ListNumber"/>
        <w:spacing w:after="60"/>
      </w:pPr>
      <w:r>
        <w:rPr>
          <w:b/>
        </w:rPr>
        <w:t xml:space="preserve">Verify all technical claims. </w:t>
      </w:r>
      <w:r>
        <w:t>For every alleged defect, capture a timestamped screenshot or non-invasive observation, state the exact URL and expected/actual result, and have the site owner confirm server-side details where necessary.</w:t>
      </w:r>
    </w:p>
    <w:p>
      <w:pPr>
        <w:pStyle w:val="ListNumber"/>
        <w:spacing w:after="60"/>
      </w:pPr>
      <w:r>
        <w:rPr>
          <w:b/>
        </w:rPr>
        <w:t xml:space="preserve">Prioritize the reported mim.gov.zm issue for owner review. </w:t>
      </w:r>
      <w:r>
        <w:t>If the public page is genuinely exposing unintended directory or server information, ask the authorized administrator to restrict access, correct the web-server configuration, review logs, and assess whether any sensitive files were exposed. Do not label it a confirmed compromise unless evidence supports that conclusion.</w:t>
      </w:r>
    </w:p>
    <w:p>
      <w:pPr>
        <w:pStyle w:val="ListNumber"/>
        <w:spacing w:after="60"/>
      </w:pPr>
      <w:r>
        <w:rPr>
          <w:b/>
        </w:rPr>
        <w:t xml:space="preserve">Ask administrators to verify PHP patch status. </w:t>
      </w:r>
      <w:r>
        <w:t>Use the official PHP advisory and the hosting provider’s guidance. Confirm the deployed version and whether any vendor backport is applied; update supported installations to a fixed release as appropriate.</w:t>
      </w:r>
    </w:p>
    <w:p>
      <w:pPr>
        <w:pStyle w:val="ListNumber"/>
        <w:spacing w:after="60"/>
      </w:pPr>
      <w:r>
        <w:rPr>
          <w:b/>
        </w:rPr>
        <w:t xml:space="preserve">Review authentication controls with written approval. </w:t>
      </w:r>
      <w:r>
        <w:t>Ask owners to confirm MFA where feasible, rate limiting, secure password policy, logging and account lockout/abuse controls. Do not attempt password guessing or credential attacks.</w:t>
      </w:r>
    </w:p>
    <w:p>
      <w:pPr>
        <w:pStyle w:val="ListNumber"/>
        <w:spacing w:after="60"/>
      </w:pPr>
      <w:r>
        <w:rPr>
          <w:b/>
        </w:rPr>
        <w:t xml:space="preserve">Check basic transport and security configuration. </w:t>
      </w:r>
      <w:r>
        <w:t>Confirm HTTPS certificate validity and inspect security headers with an approved tool. Document observations without treating any single missing header as proof of compromise.</w:t>
      </w:r>
    </w:p>
    <w:p>
      <w:pPr>
        <w:pStyle w:val="ListNumber"/>
        <w:spacing w:after="60"/>
      </w:pPr>
      <w:r>
        <w:rPr>
          <w:b/>
        </w:rPr>
        <w:t xml:space="preserve">Use a neutral finding classification. </w:t>
      </w:r>
      <w:r>
        <w:t>Mark each item as Confirmed, Needs verification, Not observed, or Not tested. Assign severity only after considering evidence, exploitability, exposure, impact and compensating controls.</w:t>
      </w:r>
    </w:p>
    <w:p>
      <w:pPr>
        <w:pStyle w:val="ListNumber"/>
        <w:spacing w:after="60"/>
      </w:pPr>
      <w:r>
        <w:rPr>
          <w:b/>
        </w:rPr>
        <w:t xml:space="preserve">Agree the test boundary with the supervisor. </w:t>
      </w:r>
      <w:r>
        <w:t>Obtain written authorization covering domains, allowed tools, time window, request limits, exclusions, reporting contact and escalation procedure before running technical scans.</w:t>
      </w:r>
    </w:p>
    <w:p>
      <w:pPr>
        <w:pStyle w:val="Heading1"/>
      </w:pPr>
      <w:r>
        <w:t>7. Evidence Register Template</w:t>
      </w:r>
    </w:p>
    <w:p>
      <w:r>
        <w:t>Complete one row for every issue before calling it a finding.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pPr>
              <w:spacing w:after="0"/>
            </w:pPr>
            <w:r/>
            <w:r>
              <w:rPr>
                <w:rFonts w:ascii="Arial" w:hAnsi="Arial"/>
                <w:b/>
                <w:color w:val="FFFFFF"/>
                <w:sz w:val="14"/>
              </w:rPr>
              <w:t>ID</w:t>
            </w:r>
          </w:p>
        </w:tc>
        <w:tc>
          <w:tcPr>
            <w:tcW w:type="dxa" w:w="1440"/>
            <w:vAlign w:val="center"/>
            <w:shd w:fill="1F4E79"/>
          </w:tcPr>
          <w:p>
            <w:pPr>
              <w:spacing w:after="0"/>
            </w:pPr>
            <w:r/>
            <w:r>
              <w:rPr>
                <w:rFonts w:ascii="Arial" w:hAnsi="Arial"/>
                <w:b/>
                <w:color w:val="FFFFFF"/>
                <w:sz w:val="14"/>
              </w:rPr>
              <w:t>Site / URL</w:t>
            </w:r>
          </w:p>
        </w:tc>
        <w:tc>
          <w:tcPr>
            <w:tcW w:type="dxa" w:w="1440"/>
            <w:vAlign w:val="center"/>
            <w:shd w:fill="1F4E79"/>
          </w:tcPr>
          <w:p>
            <w:pPr>
              <w:spacing w:after="0"/>
            </w:pPr>
            <w:r/>
            <w:r>
              <w:rPr>
                <w:rFonts w:ascii="Arial" w:hAnsi="Arial"/>
                <w:b/>
                <w:color w:val="FFFFFF"/>
                <w:sz w:val="14"/>
              </w:rPr>
              <w:t>Date &amp; time</w:t>
            </w:r>
          </w:p>
        </w:tc>
        <w:tc>
          <w:tcPr>
            <w:tcW w:type="dxa" w:w="1440"/>
            <w:vAlign w:val="center"/>
            <w:shd w:fill="1F4E79"/>
          </w:tcPr>
          <w:p>
            <w:pPr>
              <w:spacing w:after="0"/>
            </w:pPr>
            <w:r/>
            <w:r>
              <w:rPr>
                <w:rFonts w:ascii="Arial" w:hAnsi="Arial"/>
                <w:b/>
                <w:color w:val="FFFFFF"/>
                <w:sz w:val="14"/>
              </w:rPr>
              <w:t>Test / expected result</w:t>
            </w:r>
          </w:p>
        </w:tc>
        <w:tc>
          <w:tcPr>
            <w:tcW w:type="dxa" w:w="1440"/>
            <w:vAlign w:val="center"/>
            <w:shd w:fill="1F4E79"/>
          </w:tcPr>
          <w:p>
            <w:pPr>
              <w:spacing w:after="0"/>
            </w:pPr>
            <w:r/>
            <w:r>
              <w:rPr>
                <w:rFonts w:ascii="Arial" w:hAnsi="Arial"/>
                <w:b/>
                <w:color w:val="FFFFFF"/>
                <w:sz w:val="14"/>
              </w:rPr>
              <w:t>Observed result</w:t>
            </w:r>
          </w:p>
        </w:tc>
        <w:tc>
          <w:tcPr>
            <w:tcW w:type="dxa" w:w="1440"/>
            <w:vAlign w:val="center"/>
            <w:shd w:fill="1F4E79"/>
          </w:tcPr>
          <w:p>
            <w:pPr>
              <w:spacing w:after="0"/>
            </w:pPr>
            <w:r/>
            <w:r>
              <w:rPr>
                <w:rFonts w:ascii="Arial" w:hAnsi="Arial"/>
                <w:b/>
                <w:color w:val="FFFFFF"/>
                <w:sz w:val="14"/>
              </w:rPr>
              <w:t>Evidence ref</w:t>
            </w:r>
          </w:p>
        </w:tc>
        <w:tc>
          <w:tcPr>
            <w:tcW w:type="dxa" w:w="1440"/>
            <w:vAlign w:val="center"/>
            <w:shd w:fill="1F4E79"/>
          </w:tcPr>
          <w:p>
            <w:pPr>
              <w:spacing w:after="0"/>
            </w:pPr>
            <w:r/>
            <w:r>
              <w:rPr>
                <w:rFonts w:ascii="Arial" w:hAnsi="Arial"/>
                <w:b/>
                <w:color w:val="FFFFFF"/>
                <w:sz w:val="14"/>
              </w:rPr>
              <w:t>Status / owner action</w:t>
            </w:r>
          </w:p>
        </w:tc>
      </w:tr>
      <w:tr>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r>
      <w:tr>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r>
      <w:tr>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r>
      <w:tr>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c>
          <w:tcPr>
            <w:tcW w:type="dxa" w:w="1440"/>
            <w:vAlign w:val="center"/>
          </w:tcPr>
          <w:p>
            <w:pPr>
              <w:spacing w:after="0"/>
            </w:pPr>
            <w:r/>
            <w:r>
              <w:rPr>
                <w:rFonts w:ascii="Arial" w:hAnsi="Arial"/>
                <w:b w:val="0"/>
                <w:sz w:val="14"/>
              </w:rPr>
              <w:t xml:space="preserve"> </w:t>
            </w:r>
          </w:p>
        </w:tc>
      </w:tr>
    </w:tbl>
    <w:p>
      <w:pPr>
        <w:pStyle w:val="Heading1"/>
      </w:pPr>
      <w:r>
        <w:t>8. Conclusion</w:t>
      </w:r>
    </w:p>
    <w:p>
      <w:r>
        <w:t>The strongest confirmed issue currently visible in the Cabinet Office directory text is a spelling inconsistency in the Ministry of Information and Media entry; the ministry-name wording for Youth, Sports and Arts also requires confirmation. Other directory checks remain to be completed systematically. The supplied technical notes raise issues worth investigating, particularly the reported unexpected content on mim.gov.zm and the need to verify PHP patch status, but the current evidence does not justify declaring all ministry websites high risk or labelling a specific ministry site critically vulnerable.</w:t>
      </w:r>
    </w:p>
    <w:p>
      <w:r>
        <w:t>The recommended next step is to complete the evidence register, verify every ministry domain through the official directory, and submit potential technical issues to the authorized Smart Zambia/site-owner team for confirmation and remediation.</w:t>
      </w:r>
    </w:p>
    <w:p>
      <w:pPr>
        <w:pStyle w:val="Heading1"/>
      </w:pPr>
      <w:r>
        <w:t>9. References</w:t>
      </w:r>
    </w:p>
    <w:p>
      <w:pPr>
        <w:pStyle w:val="ListBullet"/>
        <w:spacing w:after="40"/>
      </w:pPr>
      <w:r>
        <w:rPr>
          <w:b/>
        </w:rPr>
        <w:t xml:space="preserve">Cabinet Office Zambia — Ministries and Provincial Administrations: </w:t>
      </w:r>
      <w:r>
        <w:t>https://www.cabinet.gov.zm/?page_id=148</w:t>
      </w:r>
    </w:p>
    <w:p>
      <w:pPr>
        <w:pStyle w:val="ListBullet"/>
        <w:spacing w:after="40"/>
      </w:pPr>
      <w:r>
        <w:rPr>
          <w:b/>
        </w:rPr>
        <w:t xml:space="preserve">PHP official security advisory — 21 October 2026: </w:t>
      </w:r>
      <w:r>
        <w:t>https://www.php.net/archive/2026.php#2026-10-21-5</w:t>
      </w:r>
    </w:p>
    <w:p>
      <w:pPr>
        <w:pStyle w:val="ListBullet"/>
        <w:spacing w:after="40"/>
      </w:pPr>
      <w:r>
        <w:rPr>
          <w:b/>
        </w:rPr>
        <w:t xml:space="preserve">PHP official website / release information: </w:t>
      </w:r>
      <w:r>
        <w:t>https://www.php.net/</w:t>
      </w:r>
    </w:p>
    <w:p>
      <w:pPr>
        <w:pStyle w:val="ListBullet"/>
        <w:spacing w:after="40"/>
      </w:pPr>
      <w:r>
        <w:rPr>
          <w:b/>
        </w:rPr>
        <w:t xml:space="preserve">OWASP Web Security Testing Guide: </w:t>
      </w:r>
      <w:r>
        <w:t>https://owasp.org/www-project-web-security-testing-guide/</w:t>
      </w:r>
    </w:p>
    <w:p>
      <w:pPr>
        <w:pStyle w:val="ListBullet"/>
        <w:spacing w:after="40"/>
      </w:pPr>
      <w:r>
        <w:rPr>
          <w:b/>
        </w:rPr>
        <w:t xml:space="preserve">W3C Web Content Accessibility Guidelines (WCAG) 2.2: </w:t>
      </w:r>
      <w:r>
        <w:t>https://www.w3.org/TR/WCAG22/</w:t>
      </w:r>
    </w:p>
    <w:p/>
    <w:p>
      <w:r>
        <w:rPr>
          <w:i/>
          <w:color w:val="5A5A5A"/>
        </w:rPr>
        <w:t>Prepared as a working internship report. Review with the supervisor and authorized system owners before issuing as a final institutional audit.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6464"/>
        <w:sz w:val="16"/>
      </w:rPr>
      <w:t>Working draft — validate all technical findings with the authorized website owners before formal circulation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SMART ZAMBIA INSTITUTE OF ICT  |  PRELIMINARY WEBSITE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