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Às 21</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horas do dia 27</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 Junho de 2025,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como resultado final da unidade curricular Trabalho Interdisciplinar: Aplicações para Processos de Negócios, que será apresentado pelos discentes do curso de Engenharia de Software da PUC Minas. Estiveram presentes à reunião Danilo De Quadros Maia Filho, Joana Gabriela Ribeiro de Souza, Michelle Hanne Soares De Andrade</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professores da unidade curricular, e Caio Gabriel de Lima Leal, Erick Guedes de Carvalho, Ian Nycolas Fernandes Costa, João Marcos de Aquino Gonçalves, João Vitor Tolentino, Luiz Gustavo Fagundes Teixeira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Discentes e docentes são autores intelectuais do trabalho. Tendo o resultado final sido aprovado pelo curso de Engenharia de Software da PUC Minas, os artefatos produzidos no trabalho serão encaminhados ao Núcleo de Inovação Tecnológica da PUC Minas para registro, junto ao Instituto Nacional da Propriedade Industrial (INPI), de autoria intelectual dos discentes e docentes.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sidDel="00000000" w:rsidR="00000000" w:rsidRPr="00000000">
        <w:rPr>
          <w:rFonts w:ascii="Arial" w:cs="Arial" w:eastAsia="Arial" w:hAnsi="Arial"/>
          <w:color w:val="000000"/>
          <w:sz w:val="19"/>
          <w:szCs w:val="19"/>
          <w:rtl w:val="0"/>
        </w:rPr>
        <w:t xml:space="preserve">Sendo o registro efetuado, o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27 de Junho de 2025.</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João Marcos de Aquino Gonçalves</w:t>
      </w:r>
    </w:p>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João Marcos de Aquino Gonçalves</w:t>
      </w:r>
    </w:p>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                          </w:t>
      </w:r>
    </w:p>
    <w:p w:rsidR="00000000" w:rsidDel="00000000" w:rsidP="00000000" w:rsidRDefault="00000000" w:rsidRPr="00000000" w14:paraId="0000000D">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w:t>
      </w:r>
    </w:p>
    <w:p w:rsidR="00000000" w:rsidDel="00000000" w:rsidP="00000000" w:rsidRDefault="00000000" w:rsidRPr="00000000" w14:paraId="00000010">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0"/>
          <w:szCs w:val="20"/>
          <w:highlight w:val="yellow"/>
        </w:rPr>
      </w:pPr>
      <w:bookmarkStart w:colFirst="0" w:colLast="0" w:name="_7r13vgqw3x2h" w:id="0"/>
      <w:bookmarkEnd w:id="0"/>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