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Matheus Fernandes da Silva Otoni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18/06/2025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5q722iv669j6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5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mfu65k9gj2ea" w:id="1"/>
    <w:bookmarkEnd w:id="1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2ktqvf80agfl" w:id="2"/>
    <w:bookmarkEnd w:id="2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__x__Sim    ____Não</w:t>
        <w:br w:type="textWrapping"/>
        <w:t xml:space="preserve">Caso sim, diga-me o que você sabe sobre.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Já utilizei alguns sites que falam sobre viagens e sobre recomendação de lugares, mas nunca com recomendações especificas pet-friendly..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Parece um site para quem viaja com animais. Dá pra ver que tem dicas de hospedagens, parques, restaurantes e também regras de viagem para levar pets."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Pra quem tem pet e quer viajar com eles. Dá pra perceber porque tudo aqui é focado em lugares pet-friendly e informações de viagem com 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3339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Parece ser uma empresa ou um grupo que trabalha com turismo pet-friendly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Descreva neste campo um cenário (definindo o contexto) em que o sistema pode estar inserido no momento do uso para apresentar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um hotel para hospedagem que aceite Pets como acompanhantes.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“Hospedagens” 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relatou que foi fácil achar o caminho pois a interface é bem limpa e por isso fica fácil achar o que o usuário quer.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praça  que aceite visitas com Pets.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“Locais públicos” 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achou o processo intuitivo.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 restaurantes que aceitem animais como acompanhantes.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“Estabelecimentos”,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achou o processo intuitivo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Consultar regras de viagem para transportes os animais de carro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“Regras de Viagem”, e em seguida, entrar na opção “CARRO”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encontrou facilmente as regras, pois a categorização por meios de transporte foi clara.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Consultar regras de viagem para transportes os animais de 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“Regras de Viagem”, e em seguida, entrar na opção “AVIÃO”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Idem a tarefa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r w:rsidDel="00000000" w:rsidR="00000000" w:rsidRPr="00000000">
        <w:rPr>
          <w:rtl w:val="0"/>
        </w:rPr>
        <w:t xml:space="preserve">Tarefa 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Inserir um comentário sobre uma experiência que teve em uma hospedagem.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tela inicial do sistema, acessar a opção “hospedagem”, e ao localizar o local, clicar no ícone de comentários, que irá abrir um modal, onde poderá ser feito a inclusão do comentário.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não conseguiu localizar o botão de comentários.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0A2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Achei o sistema muito interessante, com interface limpa, intuitiva e fácil de aprender a utilizar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bookmarkStart w:colFirst="0" w:colLast="0" w:name="_kavqa5suwb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0A4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8e4p9vsnymep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Fáceis de entender e executar na maioria dos casos.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0A6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Sim, é um sistema atual porque reflete uma tendência crescente de espaços pet friendly e oferece um design minimalista.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0A8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organização das informações e o design, que é limpo e de fácil navegação.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0AA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Senti falta de uma organização mais clara nas categorias, além disso, percebi que poderia ter um filtro de busca para facilitar a localização de locais específicos e a dificuldade de localizar onde comentar sobre os locais,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0AC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Sim, filtros de busca por cidade, ou categoria de estabelecimento(hotel, praça, restaurante). 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0AE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um site prático e muito útil para quem gosta de viajar ou passear sem deixar seu pet para trás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Achei muito boa a proposta, melhorias pontuais deixariam o site excelente.</w:t>
      </w:r>
    </w:p>
    <w:p w:rsidR="00000000" w:rsidDel="00000000" w:rsidP="00000000" w:rsidRDefault="00000000" w:rsidRPr="00000000" w14:paraId="000000B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0B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sistema foi bem aceito pelo usuário. Pequenos ajustes como uma adição de filtros para uma navegação mais precisa irão tornar a experiência ainda mais completa e fluida.</w:t>
      </w:r>
    </w:p>
    <w:sectPr>
      <w:headerReference r:id="rId6" w:type="default"/>
      <w:footerReference r:id="rId7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0BA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BB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3" name="image2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BC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2" name="image3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BD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-953134</wp:posOffset>
          </wp:positionH>
          <wp:positionV relativeFrom="paragraph">
            <wp:posOffset>-238759</wp:posOffset>
          </wp:positionV>
          <wp:extent cx="3247390" cy="244475"/>
          <wp:effectExtent b="0" l="0" r="0" t="0"/>
          <wp:wrapNone/>
          <wp:docPr descr="Usability.gov: Improving the User Experience" id="1" name="image1.png"/>
          <a:graphic>
            <a:graphicData uri="http://schemas.openxmlformats.org/drawingml/2006/picture">
              <pic:pic>
                <pic:nvPicPr>
                  <pic:cNvPr descr="Usability.gov: Improving the User Experi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