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18/08/2021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21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0 às </w:t>
            </w: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Microsoft Teams (Grupo 01 - Corpo clinico HSF)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Criar repositório no Github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Criar projeto de Documentação no repositório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Criar backlog de todas as sprints no projeto de Documentação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Início da contextualização da área no arquivo de documentação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´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Arquivo de documentação iniciado, será finalizado na reunião de sábado.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Slides serão feitos no sábado.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Atas de reunião serão feitas pelo Lucas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Todos serão desenvolvedores.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Guilherme Tester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Henrique DevOps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Lucas Scrum Master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Victor DBA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Vinícius PO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Conferir com a Soraia e Ivre diferença entre referencial Teórico e Bibliográfico.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21/08/2021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LibreOffice/7.0.3.1$Windows_X86_64 LibreOffice_project/d7547858d014d4cf69878db179d326fc3483e082</Application>
  <Pages>1</Pages>
  <Words>187</Words>
  <Characters>1163</Characters>
  <CharactersWithSpaces>1326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2021-08-21T10:28:59Z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