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9C8C366" wp14:textId="77777777">
      <w:pPr>
        <w:pStyle w:val="Ttulo1"/>
        <w:suppressAutoHyphens w:val="true"/>
        <w:spacing w:line="360" w:lineRule="auto"/>
        <w:rPr>
          <w:rFonts w:ascii="Calibri" w:hAnsi="Calibri" w:cs="Arial"/>
          <w:lang w:val="pt-BR" w:eastAsia="pt-BR"/>
        </w:rPr>
      </w:pPr>
      <w:bookmarkStart w:name="_Toc520618662" w:id="0"/>
      <w:bookmarkStart w:name="_Toc506793649" w:id="1"/>
      <w:r>
        <w:rPr>
          <w:rFonts w:ascii="Calibri" w:hAnsi="Calibri" w:cs="Arial"/>
          <w:lang w:val="pt-BR" w:eastAsia="pt-BR"/>
        </w:rPr>
        <w:t>Requisitos funcionais</w:t>
      </w:r>
      <w:bookmarkEnd w:id="0"/>
      <w:bookmarkEnd w:id="1"/>
    </w:p>
    <w:tbl>
      <w:tblPr>
        <w:tblW w:w="9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87"/>
        <w:gridCol w:w="1757"/>
        <w:gridCol w:w="3150"/>
        <w:gridCol w:w="1635"/>
        <w:gridCol w:w="1636"/>
      </w:tblGrid>
      <w:tr xmlns:wp14="http://schemas.microsoft.com/office/word/2010/wordml" w:rsidTr="445E2262" w14:paraId="6EB470E4" wp14:textId="77777777">
        <w:trPr>
          <w:trHeight w:val="521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5479E737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/>
                <w:kern w:val="2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/>
                <w:kern w:val="2"/>
                <w:lang w:eastAsia="pt-BR"/>
              </w:rPr>
              <w:t>Número de Ordem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76C943B1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/>
                <w:kern w:val="2"/>
                <w:lang w:eastAsia="pt-BR"/>
              </w:rPr>
              <w:t>Requisito</w:t>
            </w:r>
          </w:p>
          <w:p w14:paraId="0E4C7C32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kern w:val="2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[Nome do requisito.]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212251CE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/>
                <w:kern w:val="2"/>
                <w:lang w:eastAsia="pt-BR"/>
              </w:rPr>
              <w:t>Descrição</w:t>
            </w:r>
          </w:p>
          <w:p w14:paraId="480EB481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false"/>
                <w:b w:val="false"/>
                <w:bCs w:val="false"/>
                <w:kern w:val="2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[Descrição resumida do requisito.]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60A200BE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/>
                <w:kern w:val="2"/>
                <w:lang w:eastAsia="pt-BR"/>
              </w:rPr>
              <w:t>Prioridade</w:t>
            </w:r>
          </w:p>
          <w:p w14:paraId="179E6501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kern w:val="2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[Alta, média ou baixa.]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6AA026F6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sz w:val="22"/>
                <w:szCs w:val="22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 w:themeColor="background1" w:themeTint="ff" w:themeShade="ff"/>
                <w:sz w:val="22"/>
                <w:szCs w:val="22"/>
                <w:lang w:eastAsia="pt-BR"/>
              </w:rPr>
              <w:t>Complexidade</w:t>
            </w:r>
          </w:p>
          <w:p w14:paraId="21EC1E54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[Alta, média ou baixa.]</w:t>
            </w:r>
          </w:p>
        </w:tc>
      </w:tr>
      <w:tr xmlns:wp14="http://schemas.microsoft.com/office/word/2010/wordml" w:rsidTr="445E2262" w14:paraId="7B80E839" wp14:textId="77777777">
        <w:trPr/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A259C7C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lang w:eastAsia="pt-BR"/>
              </w:rPr>
              <w:t>RF-01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26DF55B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Candidatura de médico.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0A99A44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kern w:val="2"/>
                <w:lang w:eastAsia="pt-BR"/>
              </w:rPr>
            </w:pP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>O médico deve poder se candidatar,</w:t>
            </w: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 xml:space="preserve"> por meio do envio da</w:t>
            </w: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 xml:space="preserve"> documentação, especialidades e foto (3x4), além de ter que aceitar os termos e informar </w:t>
            </w: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>o CPF e</w:t>
            </w: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 xml:space="preserve"> um usuário </w:t>
            </w: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>(CRM)</w:t>
            </w: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 xml:space="preserve"> e senha desejado. </w:t>
            </w:r>
            <w:r w:rsidR="445E2262"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>Caso o médico seja coordenador, deverá enviar documentos extras.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BFA91A7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kern w:val="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kern w:val="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AE0909F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</w:tr>
      <w:tr xmlns:wp14="http://schemas.microsoft.com/office/word/2010/wordml" w:rsidTr="445E2262" w14:paraId="55858B98" wp14:textId="77777777">
        <w:trPr/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E10EF8D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RF-02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DB61C40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Status da candidatura pendente.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06C889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O médico enquanto não receber retorno da candidatura, ao fazer login, 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kern w:val="0"/>
                <w:sz w:val="22"/>
                <w:szCs w:val="22"/>
                <w:lang w:val="pt-BR" w:eastAsia="pt-BR" w:bidi="ar-SA"/>
              </w:rPr>
              <w:t>visualizará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kern w:val="0"/>
                <w:sz w:val="22"/>
                <w:szCs w:val="22"/>
                <w:lang w:val="pt-BR" w:eastAsia="pt-BR" w:bidi="ar-SA"/>
              </w:rPr>
              <w:t>o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 status da candidatura, informando que está pendente.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9914C3B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509D703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</w:tr>
      <w:tr xmlns:wp14="http://schemas.microsoft.com/office/word/2010/wordml" w:rsidTr="445E2262" w14:paraId="0079CEF2" wp14:textId="77777777">
        <w:trPr/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6A2D05B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RF-03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82332C4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Correção da candidatura.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616F2E7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médico poderá visualizar os comentários e atualizar os dados do seu cadastro, ao ser negada p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elo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 avaliador.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99C19BB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A559A27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</w:tr>
      <w:tr xmlns:wp14="http://schemas.microsoft.com/office/word/2010/wordml" w:rsidTr="445E2262" w14:paraId="469AF125" wp14:textId="77777777">
        <w:trPr/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7A360C5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RF-04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A49612D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Treinamento pós candidatura aprovada.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DA3880B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médico deverá obter acesso aos vídeos de treinamento ao ter sua candidatura aprovada, podendo assim concluir seu cadastro.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26E4AEF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67CBCE3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60D0C18A" wp14:textId="77777777">
        <w:trPr/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2E5EAB5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RF-05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F9563E8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Login médico.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0C2EFD8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O médico poderá acessar sua conta, por meio de login e senha, após sua candidatura ser aprovada e ter concluído o treinamento.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263B5AD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ADAA758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74BC7C1C" wp14:textId="77777777">
        <w:trPr/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5EAB073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RF-06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7434AB5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Visualização de dado do médico.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9E3A4B1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médico deverá poder visualizar os seus dados, documentos e especialidades.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79C3318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42B22E0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</w:tr>
      <w:tr xmlns:wp14="http://schemas.microsoft.com/office/word/2010/wordml" w:rsidTr="445E2262" w14:paraId="471AF409" wp14:textId="77777777">
        <w:trPr/>
        <w:tc>
          <w:tcPr>
            <w:tcW w:w="98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602FC77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RF-07</w:t>
            </w:r>
          </w:p>
        </w:tc>
        <w:tc>
          <w:tcPr>
            <w:tcW w:w="175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5D3E740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Adicionar nova especialidade médica.</w:t>
            </w:r>
          </w:p>
        </w:tc>
        <w:tc>
          <w:tcPr>
            <w:tcW w:w="315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9ACDBB5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médico deve poder solicitar a atualização de suas especialidades, adicionando uma nova, por meio do envio da documentação, além de ter que aceitar os termos.</w:t>
            </w:r>
          </w:p>
        </w:tc>
        <w:tc>
          <w:tcPr>
            <w:tcW w:w="163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0B3764B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61ED45F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</w:tr>
      <w:tr xmlns:wp14="http://schemas.microsoft.com/office/word/2010/wordml" w:rsidTr="445E2262" w14:paraId="65F38CAB" wp14:textId="77777777">
        <w:trPr/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1CD0867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RF-08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4914C3E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Correção da nova especialidade médica.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E1A902D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médico deverá ver na sua tela de especialidades, a nova especialidade que foi negada, apresentando os campos e comentários do que foi negado, caso sua nova especialidade seja negada p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kern w:val="0"/>
                <w:sz w:val="22"/>
                <w:szCs w:val="22"/>
                <w:lang w:val="pt-BR" w:eastAsia="pt-BR" w:bidi="ar-SA"/>
              </w:rPr>
              <w:t>elo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 usuário avaliador.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AC31F4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9F2B1FF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</w:tr>
      <w:tr xmlns:wp14="http://schemas.microsoft.com/office/word/2010/wordml" w:rsidTr="445E2262" w14:paraId="7683C288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CB8F857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RF-09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8142018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Ver candidaturas.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3A60A9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O usuário administrador 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deve poder acessar as candidaturas enviadas pelos médicos.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95D682E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0AEB120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382332B6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57E8C6E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RF-10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EB529C2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Avaliar candidaturas.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35B6350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usuário administrador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 deve retornar a resposta da candidatura 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kern w:val="0"/>
                <w:sz w:val="22"/>
                <w:szCs w:val="22"/>
                <w:lang w:val="pt-BR" w:eastAsia="pt-BR" w:bidi="ar-SA"/>
              </w:rPr>
              <w:t>d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o médico, 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kern w:val="0"/>
                <w:sz w:val="22"/>
                <w:szCs w:val="22"/>
                <w:lang w:val="pt-BR" w:eastAsia="pt-BR" w:bidi="ar-SA"/>
              </w:rPr>
              <w:t>anexando ou não (caso seja negada) os documentos com as assinaturas do coordenador clínico, diretor clínico e diretor técnico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01C057A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FC2E3E1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77E32646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45685E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RF-11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381D51F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Avaliar incremento de especialidade.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A1B4649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usuário administrador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 deve retornar a resposta do cadastro de novas especialidades do médico, 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sendo negada ou aprovada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E242D92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Baixo.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905A3A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6CCDB0CE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0B5E7FD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RF-12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15EEF39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Controle de unidades.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C0B517A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administrador deve poder cadastrar, atualizar (podendo ativar e desativar), deletar e visualizar unidades do hospital.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F5CF54F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7C5F883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</w:tr>
      <w:tr xmlns:wp14="http://schemas.microsoft.com/office/word/2010/wordml" w:rsidTr="445E2262" w14:paraId="30453596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D46943D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RF-13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9642C52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Controle de vídeos de treinamento.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75D98CF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administrador deve poder alterar o vídeo de treinamento de conclusão do cadastro do médico.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E3D8272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DC39FB1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</w:tr>
      <w:tr xmlns:wp14="http://schemas.microsoft.com/office/word/2010/wordml" w:rsidTr="445E2262" w14:paraId="58D0F9DC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6EBEA30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RF-14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C3F2DD4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Gráficos de especialidades dos médicos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9C18443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administrador poderá visualizar um gráfico de pizza de quais especialidades estão cadastradas.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C1A9E5D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05E277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130DD703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A2222E5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RF-15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67BA2ED" wp14:textId="77777777">
            <w:pPr>
              <w:pStyle w:val="Normal"/>
              <w:widowControl w:val="false"/>
              <w:spacing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Gráficos de médicos cadastrados por período.</w:t>
            </w:r>
          </w:p>
          <w:p w14:paraId="672A6659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6CF028F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administrador poderá visualizar um gráfico de barras de quantos médicos estão sendo cadastrador por período.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BFD1A81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B63BFCF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322B4757" wp14:textId="77777777">
        <w:trPr>
          <w:trHeight w:val="48" w:hRule="atLeast"/>
        </w:trPr>
        <w:tc>
          <w:tcPr>
            <w:tcW w:w="9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F953E4B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RF-16</w:t>
            </w:r>
          </w:p>
        </w:tc>
        <w:tc>
          <w:tcPr>
            <w:tcW w:w="17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54E3C36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Cadastro de usuários por administrador.</w:t>
            </w:r>
          </w:p>
        </w:tc>
        <w:tc>
          <w:tcPr>
            <w:tcW w:w="31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259E504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O administrador deve poder cadastrar usuários administradores.</w:t>
            </w:r>
          </w:p>
        </w:tc>
        <w:tc>
          <w:tcPr>
            <w:tcW w:w="16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BBE2C02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CE654F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</w:tr>
      <w:tr xmlns:wp14="http://schemas.microsoft.com/office/word/2010/wordml" w:rsidTr="445E2262" w14:paraId="068305BD" wp14:textId="77777777">
        <w:trPr>
          <w:trHeight w:val="48" w:hRule="atLeast"/>
        </w:trPr>
        <w:tc>
          <w:tcPr>
            <w:tcW w:w="98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EC2A431" wp14:textId="3A2CBA20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/>
                <w:bCs w:val="1"/>
                <w:color w:val="000000" w:themeColor="text1" w:themeTint="ff" w:themeShade="ff"/>
                <w:sz w:val="22"/>
                <w:szCs w:val="22"/>
                <w:lang w:eastAsia="pt-BR"/>
              </w:rPr>
            </w:pPr>
            <w:r w:rsidRPr="445E2262" w:rsidR="445E2262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eastAsia="pt-BR"/>
              </w:rPr>
              <w:t>RF-17</w:t>
            </w:r>
          </w:p>
        </w:tc>
        <w:tc>
          <w:tcPr>
            <w:tcW w:w="175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9F8A5F8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Controle de equipes.</w:t>
            </w:r>
          </w:p>
        </w:tc>
        <w:tc>
          <w:tcPr>
            <w:tcW w:w="315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4414FB2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deve poder ver, criar, atualizar e desativar equipes, associando cada equipe a uma especialidade, e cada especialidade a um coordenador clínico.</w:t>
            </w:r>
          </w:p>
        </w:tc>
        <w:tc>
          <w:tcPr>
            <w:tcW w:w="163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628E5B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768D5A5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445E2262" w14:paraId="2A239336" wp14:textId="77777777">
        <w:trPr>
          <w:trHeight w:val="48" w:hRule="atLeast"/>
        </w:trPr>
        <w:tc>
          <w:tcPr>
            <w:tcW w:w="98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827159A" wp14:textId="0B8A57B4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/>
                <w:bCs w:val="1"/>
                <w:color w:val="000000" w:themeColor="text1" w:themeTint="ff" w:themeShade="ff"/>
                <w:sz w:val="22"/>
                <w:szCs w:val="22"/>
                <w:lang w:eastAsia="pt-BR"/>
              </w:rPr>
            </w:pPr>
            <w:r w:rsidRPr="445E2262" w:rsidR="445E2262">
              <w:rPr>
                <w:rFonts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lang w:eastAsia="pt-BR"/>
              </w:rPr>
              <w:t>RF-18</w:t>
            </w:r>
          </w:p>
        </w:tc>
        <w:tc>
          <w:tcPr>
            <w:tcW w:w="175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67B63F9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Desativar médico.</w:t>
            </w:r>
          </w:p>
        </w:tc>
        <w:tc>
          <w:tcPr>
            <w:tcW w:w="315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6D034C0" wp14:textId="77777777">
            <w:pPr>
              <w:pStyle w:val="Normal"/>
              <w:widowControl w:val="false"/>
              <w:spacing w:before="0" w:after="200" w:line="276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pode desativar um usuário médico.</w:t>
            </w:r>
          </w:p>
        </w:tc>
        <w:tc>
          <w:tcPr>
            <w:tcW w:w="1635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1B0581E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Baixo.</w:t>
            </w:r>
          </w:p>
        </w:tc>
        <w:tc>
          <w:tcPr>
            <w:tcW w:w="16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C3D2C36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Baixo.</w:t>
            </w:r>
          </w:p>
        </w:tc>
      </w:tr>
    </w:tbl>
    <w:p xmlns:wp14="http://schemas.microsoft.com/office/word/2010/wordml" w14:paraId="0A37501D" wp14:textId="77777777">
      <w:pPr>
        <w:pStyle w:val="Normal"/>
        <w:suppressAutoHyphens w:val="true"/>
        <w:spacing w:line="360" w:lineRule="auto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 xmlns:wp14="http://schemas.microsoft.com/office/word/2010/wordml" w14:paraId="34C725EA" wp14:textId="77777777">
      <w:pPr>
        <w:pStyle w:val="Ttulo1"/>
        <w:suppressAutoHyphens w:val="true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lang w:val="pt-BR" w:eastAsia="pt-BR"/>
        </w:rPr>
        <w:t>Requisitos não funcionais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79"/>
        <w:gridCol w:w="2119"/>
        <w:gridCol w:w="2002"/>
        <w:gridCol w:w="1527"/>
        <w:gridCol w:w="1533"/>
      </w:tblGrid>
      <w:tr xmlns:wp14="http://schemas.microsoft.com/office/word/2010/wordml" w:rsidTr="0CE6BC0B" w14:paraId="6F919FDE" wp14:textId="77777777">
        <w:trPr>
          <w:trHeight w:val="521" w:hRule="atLeast"/>
        </w:trPr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58021E17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 w:themeColor="background1" w:themeTint="ff" w:themeShade="ff"/>
                <w:lang w:eastAsia="pt-BR"/>
              </w:rPr>
              <w:t>Número de Ordem</w:t>
            </w:r>
          </w:p>
        </w:tc>
        <w:tc>
          <w:tcPr>
            <w:tcW w:w="2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2EC796B8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 w:themeColor="background1" w:themeTint="ff" w:themeShade="ff"/>
                <w:lang w:eastAsia="pt-BR"/>
              </w:rPr>
              <w:t>Requisito</w:t>
            </w:r>
          </w:p>
          <w:p w14:paraId="7EC7CA81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[Nome do requisito.]</w:t>
            </w:r>
          </w:p>
        </w:tc>
        <w:tc>
          <w:tcPr>
            <w:tcW w:w="20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29FCE41E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 w:themeColor="background1" w:themeTint="ff" w:themeShade="ff"/>
                <w:lang w:eastAsia="pt-BR"/>
              </w:rPr>
              <w:t>Descrição</w:t>
            </w:r>
          </w:p>
          <w:p w14:paraId="31A21AF6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false"/>
                <w:b w:val="false"/>
                <w:bCs w:val="false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[Descrição resumida do requisito.]</w:t>
            </w:r>
          </w:p>
        </w:tc>
        <w:tc>
          <w:tcPr>
            <w:tcW w:w="15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0163327F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 w:themeColor="background1" w:themeTint="ff" w:themeShade="ff"/>
                <w:lang w:eastAsia="pt-BR"/>
              </w:rPr>
              <w:t>Prioridade</w:t>
            </w:r>
          </w:p>
          <w:p w14:paraId="2ABF0D42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[Alta, média ou baixa.]</w:t>
            </w:r>
          </w:p>
        </w:tc>
        <w:tc>
          <w:tcPr>
            <w:tcW w:w="1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5A5A5" w:themeFill="accent3"/>
            <w:tcMar/>
          </w:tcPr>
          <w:p w14:paraId="24838458" wp14:textId="77777777"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/>
                <w:bCs/>
                <w:color w:val="FFFFFF" w:themeColor="background1" w:themeTint="ff" w:themeShade="ff"/>
                <w:sz w:val="22"/>
                <w:szCs w:val="22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b/>
                <w:bCs/>
                <w:color w:val="FFFFFF" w:themeColor="background1" w:themeTint="ff" w:themeShade="ff"/>
                <w:sz w:val="22"/>
                <w:szCs w:val="22"/>
                <w:lang w:eastAsia="pt-BR"/>
              </w:rPr>
              <w:t>Complexidade</w:t>
            </w:r>
          </w:p>
          <w:p w14:paraId="63C6E312" wp14:textId="77777777"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</w:pPr>
            <w:r>
              <w:rPr>
                <w:rFonts w:ascii="Calibri Light" w:hAnsi="Calibri Light" w:eastAsia="Calibri Light" w:cs="Calibri Light" w:asciiTheme="majorAscii" w:hAnsiTheme="majorAscii" w:eastAsiaTheme="majorAscii" w:cstheme="majorAscii"/>
                <w:lang w:eastAsia="pt-BR"/>
              </w:rPr>
              <w:t>[Alta, média ou baixa.]</w:t>
            </w:r>
          </w:p>
        </w:tc>
      </w:tr>
      <w:tr xmlns:wp14="http://schemas.microsoft.com/office/word/2010/wordml" w:rsidTr="0CE6BC0B" w14:paraId="0CF8173E" wp14:textId="77777777">
        <w:trPr>
          <w:trHeight w:val="315" w:hRule="atLeast"/>
        </w:trPr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14C42A2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lang w:eastAsia="pt-BR"/>
              </w:rPr>
              <w:t>RNF-01</w:t>
            </w:r>
          </w:p>
        </w:tc>
        <w:tc>
          <w:tcPr>
            <w:tcW w:w="2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101E1C1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Salvamento automático em armazenamento local.</w:t>
            </w:r>
          </w:p>
        </w:tc>
        <w:tc>
          <w:tcPr>
            <w:tcW w:w="20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0E9B795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Os formulários da aplicação devem salvar as alterações feitas pelo usuário a cada campo modificado.</w:t>
            </w:r>
          </w:p>
        </w:tc>
        <w:tc>
          <w:tcPr>
            <w:tcW w:w="15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3CCEBAA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4D94AD2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0CE6BC0B" w14:paraId="03256D6A" wp14:textId="77777777">
        <w:trPr>
          <w:trHeight w:val="315" w:hRule="atLeast"/>
        </w:trPr>
        <w:tc>
          <w:tcPr>
            <w:tcW w:w="187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6204CA1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2119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049614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Envio de documentos.</w:t>
            </w:r>
          </w:p>
        </w:tc>
        <w:tc>
          <w:tcPr>
            <w:tcW w:w="200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78D226B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Os documentos de formulários da aplicação não devem demorar mais que 5 segundos para serem enviados.</w:t>
            </w:r>
          </w:p>
        </w:tc>
        <w:tc>
          <w:tcPr>
            <w:tcW w:w="152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E2ACC6A" wp14:textId="77777777">
            <w:pPr>
              <w:pStyle w:val="Normal"/>
              <w:widowControl w:val="false"/>
              <w:bidi w:val="0"/>
              <w:spacing w:before="0" w:beforeAutospacing="0" w:after="200" w:afterAutospacing="0" w:line="276" w:lineRule="auto"/>
              <w:ind w:left="0" w:right="0" w:hanging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Média.</w:t>
            </w:r>
          </w:p>
        </w:tc>
        <w:tc>
          <w:tcPr>
            <w:tcW w:w="153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37F10E4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0CE6BC0B" w14:paraId="2DD381DC" wp14:textId="77777777">
        <w:trPr/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4C0CF7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lang w:eastAsia="pt-BR"/>
              </w:rPr>
              <w:t>RNF-03</w:t>
            </w:r>
          </w:p>
        </w:tc>
        <w:tc>
          <w:tcPr>
            <w:tcW w:w="2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549655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Telas responsivas.</w:t>
            </w:r>
          </w:p>
        </w:tc>
        <w:tc>
          <w:tcPr>
            <w:tcW w:w="20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2DF8E88" wp14:textId="2A036544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 w:rsidRPr="0CE6BC0B" w:rsidR="0CE6BC0B"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 xml:space="preserve">As telas da aplicação </w:t>
            </w:r>
            <w:r w:rsidRPr="0CE6BC0B" w:rsidR="0CE6BC0B"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web deve</w:t>
            </w:r>
            <w:r w:rsidRPr="0CE6BC0B" w:rsidR="0CE6BC0B"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 xml:space="preserve"> ser responsivas para proporcionar o uso de todas as funcionalidades providas pelos requisitos funcionais em resoluções de 576px até 1080px.</w:t>
            </w:r>
          </w:p>
        </w:tc>
        <w:tc>
          <w:tcPr>
            <w:tcW w:w="15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093B66E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C4AB18F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</w:tr>
      <w:tr xmlns:wp14="http://schemas.microsoft.com/office/word/2010/wordml" w:rsidTr="0CE6BC0B" w14:paraId="615ECD8F" wp14:textId="77777777">
        <w:trPr>
          <w:trHeight w:val="48" w:hRule="atLeast"/>
        </w:trPr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750912E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lang w:eastAsia="pt-BR"/>
              </w:rPr>
              <w:t>RNF-04</w:t>
            </w:r>
          </w:p>
        </w:tc>
        <w:tc>
          <w:tcPr>
            <w:tcW w:w="2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9321B9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Criptografia de senhas.</w:t>
            </w:r>
          </w:p>
        </w:tc>
        <w:tc>
          <w:tcPr>
            <w:tcW w:w="20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CEF7B09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A aplicação deve garantir a segurança das senhas dos usuários, criptografando-as em sha256 ao serem inseridas no banco de dados.</w:t>
            </w:r>
          </w:p>
        </w:tc>
        <w:tc>
          <w:tcPr>
            <w:tcW w:w="15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26B43277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77A1A96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</w:tr>
      <w:tr xmlns:wp14="http://schemas.microsoft.com/office/word/2010/wordml" w:rsidTr="0CE6BC0B" w14:paraId="0C238DF9" wp14:textId="77777777">
        <w:trPr>
          <w:trHeight w:val="48" w:hRule="atLeast"/>
        </w:trPr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AB22A3B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RNF-05</w:t>
            </w:r>
          </w:p>
        </w:tc>
        <w:tc>
          <w:tcPr>
            <w:tcW w:w="2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70DCB96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Cores das telas.</w:t>
            </w:r>
          </w:p>
        </w:tc>
        <w:tc>
          <w:tcPr>
            <w:tcW w:w="20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50F600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As telas web da aplicação devem seguir a paleta de cores do Hospital São Francisco.</w:t>
            </w:r>
          </w:p>
        </w:tc>
        <w:tc>
          <w:tcPr>
            <w:tcW w:w="15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3BE6F2C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7778CC72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Baixa.</w:t>
            </w:r>
          </w:p>
        </w:tc>
      </w:tr>
      <w:tr xmlns:wp14="http://schemas.microsoft.com/office/word/2010/wordml" w:rsidTr="0CE6BC0B" w14:paraId="67AB2FE1" wp14:textId="77777777">
        <w:trPr>
          <w:trHeight w:val="48" w:hRule="atLeast"/>
        </w:trPr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203A9E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RNF-06</w:t>
            </w:r>
          </w:p>
        </w:tc>
        <w:tc>
          <w:tcPr>
            <w:tcW w:w="2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6D12B533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Autenticação e autorização.</w:t>
            </w:r>
          </w:p>
        </w:tc>
        <w:tc>
          <w:tcPr>
            <w:tcW w:w="20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CC370EE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Todos os logins na aplicação devem ser autenticados e autorizados os acessos a cada rota, por meio de JWT Bearer com expiração do token em 7 dias.</w:t>
            </w:r>
          </w:p>
        </w:tc>
        <w:tc>
          <w:tcPr>
            <w:tcW w:w="15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5BCE97DC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F5C4774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</w:tr>
      <w:tr xmlns:wp14="http://schemas.microsoft.com/office/word/2010/wordml" w:rsidTr="0CE6BC0B" w14:paraId="41F77DE5" wp14:textId="77777777">
        <w:trPr>
          <w:trHeight w:val="48" w:hRule="atLeast"/>
        </w:trPr>
        <w:tc>
          <w:tcPr>
            <w:tcW w:w="187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222F5D1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b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b/>
                <w:bCs/>
                <w:color w:val="000000" w:themeColor="text1" w:themeTint="ff" w:themeShade="ff"/>
                <w:sz w:val="22"/>
                <w:szCs w:val="22"/>
                <w:lang w:eastAsia="pt-BR"/>
              </w:rPr>
              <w:t>RNF-07</w:t>
            </w:r>
          </w:p>
        </w:tc>
        <w:tc>
          <w:tcPr>
            <w:tcW w:w="2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4FEA1F50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Persistência de arquivos.</w:t>
            </w:r>
          </w:p>
        </w:tc>
        <w:tc>
          <w:tcPr>
            <w:tcW w:w="20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6EF88ED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A aplicação deve persistir os documentos e imagens 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kern w:val="0"/>
                <w:sz w:val="22"/>
                <w:szCs w:val="22"/>
                <w:lang w:val="pt-BR" w:eastAsia="pt-BR" w:bidi="ar-SA"/>
              </w:rPr>
              <w:t>em arquivos fora do banco de dados</w:t>
            </w: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5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17E14882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14:paraId="0B572237" wp14:textId="77777777"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>
              <w:rPr>
                <w:rFonts w:eastAsia="Calibri" w:cs="Calibri" w:eastAsiaTheme="minorAscii" w:cstheme="minorAscii"/>
                <w:color w:val="000000" w:themeColor="text1" w:themeTint="ff" w:themeShade="ff"/>
                <w:sz w:val="22"/>
                <w:szCs w:val="22"/>
                <w:lang w:eastAsia="pt-BR"/>
              </w:rPr>
              <w:t>Alta.</w:t>
            </w:r>
          </w:p>
        </w:tc>
      </w:tr>
    </w:tbl>
    <w:p xmlns:wp14="http://schemas.microsoft.com/office/word/2010/wordml" w14:paraId="5DAB6C7B" wp14:textId="77777777">
      <w:pPr>
        <w:pStyle w:val="Normal"/>
        <w:suppressAutoHyphens w:val="true"/>
        <w:spacing w:line="360" w:lineRule="auto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 xmlns:wp14="http://schemas.microsoft.com/office/word/2010/wordml" w14:paraId="02EB378F" wp14:textId="77777777">
      <w:pPr>
        <w:pStyle w:val="Normal"/>
        <w:spacing w:before="0" w:after="200" w:line="360" w:lineRule="auto"/>
        <w:ind w:hanging="0"/>
        <w:jc w:val="both"/>
        <w:rPr>
          <w:rFonts w:cs="Arial"/>
          <w:sz w:val="22"/>
          <w:szCs w:val="22"/>
          <w:lang w:eastAsia="pt-BR"/>
        </w:rPr>
      </w:pPr>
      <w:r>
        <w:rPr/>
      </w:r>
    </w:p>
    <w:sectPr>
      <w:headerReference w:type="default" r:id="rId2"/>
      <w:type w:val="nextPage"/>
      <w:pgSz w:w="11906" w:h="16838" w:orient="portrait"/>
      <w:pgMar w:top="1701" w:right="1134" w:bottom="1134" w:left="1701" w:header="709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D7DFC9E" wp14:textId="77777777"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 xmlns:wp14="http://schemas.microsoft.com/office/word/2010/wordml" w14:paraId="6A05A809" wp14:textId="77777777">
    <w:pPr>
      <w:pStyle w:val="Cabealho"/>
      <w:spacing w:before="0" w:after="200"/>
      <w:rPr/>
    </w:pPr>
    <w:r>
      <w:rPr/>
    </w: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00"/>
  <w:trackRevisions w:val="false"/>
  <w:documentProtection w:edit="readOnly" w:cryptProviderType="rsaAES" w:cryptAlgorithmClass="hash" w:cryptAlgorithmType="typeAny" w:cryptAlgorithmSid="" w:cryptSpinCount="0" w:hash="" w:salt="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E6BC0B"/>
    <w:rsid w:val="0CE6BC0B"/>
    <w:rsid w:val="168F54DC"/>
    <w:rsid w:val="445E2262"/>
  </w:rsids>
  <w:themeFontLang w:val="pt-BR" w:eastAsia="" w:bidi=""/>
  <w14:docId w14:val="18A4F73E"/>
  <w15:docId w15:val="{5CF01A5E-3FEE-4FB5-AE53-19E776FD2295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8ea"/>
    <w:pPr>
      <w:widowControl/>
      <w:suppressAutoHyphens w:val="false"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before="0" w:after="0" w:line="360" w:lineRule="auto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before="0"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TtuloChar" w:customStyle="1">
    <w:name w:val="Título Char"/>
    <w:link w:val="Ttulo"/>
    <w:qFormat/>
    <w:rsid w:val="001a4337"/>
    <w:rPr>
      <w:rFonts w:ascii="Trebuchet MS" w:hAnsi="Trebuchet MS" w:eastAsia="Trebuchet MS" w:cs="Trebuchet MS"/>
      <w:color w:val="000000"/>
      <w:sz w:val="42"/>
    </w:r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qFormat/>
    <w:rsid w:val="00c1208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GradeClaranfase31" w:customStyle="1">
    <w:name w:val="Grade Clara - Ênfase 3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before="0" w:after="0" w:line="240" w:lineRule="auto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beforeAutospacing="1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leader="none" w:pos="4252"/>
        <w:tab w:val="right" w:leader="none" w:pos="8504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leader="none" w:pos="4252"/>
        <w:tab w:val="right" w:leader="none" w:pos="8504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before="0"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leader="dot" w:pos="9061"/>
      </w:tabs>
      <w:spacing w:before="0" w:after="0" w:line="360" w:lineRule="auto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before="0" w:after="0" w:line="360" w:lineRule="auto"/>
    </w:pPr>
    <w:rPr>
      <w:rFonts w:ascii="Arial" w:hAnsi="Arial"/>
      <w:sz w:val="24"/>
    </w:rPr>
  </w:style>
  <w:style w:type="paragraph" w:styleId="FreeForm" w:customStyle="1">
    <w:name w:val="Free Form"/>
    <w:qFormat/>
    <w:rsid w:val="002264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pt-BR" w:eastAsia="en-US" w:bidi="ar-SA"/>
    </w:rPr>
  </w:style>
  <w:style w:type="paragraph" w:styleId="Normal1" w:customStyle="1">
    <w:name w:val="Normal1"/>
    <w:qFormat/>
    <w:rsid w:val="001a4337"/>
    <w:pPr>
      <w:widowControl/>
      <w:suppressAutoHyphens w:val="true"/>
      <w:bidi w:val="0"/>
      <w:spacing w:before="0" w:after="0" w:line="276" w:lineRule="auto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paragraph" w:styleId="Ttulododocumento">
    <w:name w:val="Title"/>
    <w:basedOn w:val="Normal1"/>
    <w:next w:val="Normal1"/>
    <w:link w:val="TtuloChar"/>
    <w:qFormat/>
    <w:rsid w:val="001a4337"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Default" w:customStyle="1">
    <w:name w:val="Default"/>
    <w:qFormat/>
    <w:rsid w:val="00953a87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0368ea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1">
    <w:name w:val="Light List Accent 1"/>
    <w:basedOn w:val="Tabelanormal"/>
    <w:uiPriority w:val="61"/>
    <w:rsid w:val="006d599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2" ma:contentTypeDescription="Crie um novo documento." ma:contentTypeScope="" ma:versionID="8ebabd6d65f686981575d0b93a54b13e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c9534b7c377f6d2fa9c095349373a11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DED48-EBDB-4DD6-A1A9-2284243C02BD}"/>
</file>

<file path=customXml/itemProps2.xml><?xml version="1.0" encoding="utf-8"?>
<ds:datastoreItem xmlns:ds="http://schemas.openxmlformats.org/officeDocument/2006/customXml" ds:itemID="{E3D9D516-732D-490F-B07F-4F4367EA838C}"/>
</file>

<file path=customXml/itemProps3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1CFEC9-52E7-41EB-9CCF-906C0C80C7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Company>Sociedade Mineira de Cultura</ap:Compan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2019-02-10T13:49:00.0000000Z</dcterms:created>
  <dc:creator>Sociedade Mineira de Cultura</dc:creator>
  <dc:description/>
  <dc:language>pt-BR</dc:language>
  <lastModifiedBy>Henrique Penna Forte Monteiro</lastModifiedBy>
  <lastPrinted>2013-03-18T18:49:00.0000000Z</lastPrinted>
  <dcterms:modified xsi:type="dcterms:W3CDTF">2021-09-11T13:10:19.6975892Z</dcterms:modified>
  <revision>12</revision>
  <dc:subject/>
  <dc:title>PUC-MG – PONTIFÍCIA UNIVERSIDADE CATÓLICA DE MINAS GERAIS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ContentTypeId">
    <vt:lpwstr>0x01010000FBA8C9CA7D074F87DB17AF0068A8AE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