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uppressAutoHyphens w:val="true"/>
        <w:spacing w:lineRule="auto" w:line="360"/>
        <w:rPr>
          <w:rFonts w:ascii="Calibri" w:hAnsi="Calibri" w:cs="Arial"/>
          <w:lang w:val="pt-BR" w:eastAsia="pt-BR"/>
        </w:rPr>
      </w:pPr>
      <w:bookmarkStart w:id="0" w:name="_Toc520618662"/>
      <w:bookmarkStart w:id="1" w:name="_Toc506793649"/>
      <w:r>
        <w:rPr>
          <w:rFonts w:cs="Arial" w:ascii="Calibri" w:hAnsi="Calibri"/>
          <w:lang w:val="pt-BR" w:eastAsia="pt-BR"/>
        </w:rPr>
        <w:t>Requisitos funcionais</w:t>
      </w:r>
      <w:bookmarkEnd w:id="0"/>
      <w:bookmarkEnd w:id="1"/>
    </w:p>
    <w:tbl>
      <w:tblPr>
        <w:tblW w:w="9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757"/>
        <w:gridCol w:w="3150"/>
        <w:gridCol w:w="1635"/>
        <w:gridCol w:w="1636"/>
      </w:tblGrid>
      <w:tr>
        <w:trPr>
          <w:trHeight w:val="521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Número de Ordem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RF-01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Candidatura de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O médico deve poder se candidatar,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 xml:space="preserve"> por meio do envio da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 xml:space="preserve"> documentação, especialidades e foto (3x4), além de ter que aceitar os termos e informar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o CPF 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 xml:space="preserve"> um usuário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(CRM)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 xml:space="preserve"> e senha desejado.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Caso o médico seja coordenador ou diretor, deverá enviar documentos extras.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Status da candidatura pendente.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médico enquanto não receber retorno da candidatura, ao fazer login,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visualizará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status da candidatura, informando que está pendente.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candidatura.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poderá visualizar os comentários e atualizar os dados do seu cadastro, ao ser negada p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elo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Treinamento pós candidatura aprovada.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obter acesso aos vídeos de treinamento ao ter sua candidatura aprovada, podendo assim concluir seu cadastro.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Login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 médico poderá acessar sua conta, por meio de login e senha, após sua candidatura ser aprovada e ter concluído o treinamento.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Visualização de dado do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poder visualizar os seus dados, documentos e especialidades.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RF-07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Adicionar nova especialidade médica.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médico deve poder solicitar a atualização de suas especialidades, adicionando uma nova, por meio do envio da documentação, além de ter que aceitar os termos.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RF-08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nova especialidade médica.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ver na sua tela de especialidades, a nova especialidade que foi negada, apresentando os campos e comentários do que foi negado, caso sua nova especialidade seja negada p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elo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usuário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Ver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usuário administrador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deve poder acessar as candidaturas enviadas pelos médicos.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usuário administrador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deve retornar a resposta da candidatura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d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médico,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anexando ou não (caso seja negada) os documentos com as assinaturas do coordenador clínico, diretor clínico e diretor técnico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incremento de especialidade.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usuário administrador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deve retornar a resposta do cadastro de novas especialidades do médico,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sendo negada ou aprovada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Baixo.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unidades.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cadastrar, atualizar (podendo ativar e desativar), deletar e visualizar unidades do hospital.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vídeos de treinamento.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alterar o vídeo de treinamento de conclusão do cadastro do médico.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especialidades dos médicos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pizza de quais especialidades estão cadastradas.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médicos cadastrados por período.</w:t>
            </w:r>
          </w:p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barras de quantos médicos estão sendo cadastrador por período.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Cadastro de usuários por administrador.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cadastrar usuários administradores.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RF-16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Controle de equipes.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deve poder ver, criar, atualizar e desativar equipes, associando cada equipe a uma especialidade, e cada especialidade a um coordenador clínico.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RF-17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Desativar médico.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pode desativar um usuário médico.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Baixo.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Baixo.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rFonts w:ascii="Calibri" w:hAnsi="Calibri" w:cs="Arial"/>
          <w:szCs w:val="24"/>
          <w:lang w:val="pt-BR" w:eastAsia="pt-BR"/>
        </w:rPr>
      </w:pPr>
      <w:r>
        <w:rPr>
          <w:rFonts w:cs="Arial" w:ascii="Calibri" w:hAnsi="Calibri"/>
          <w:lang w:val="pt-BR" w:eastAsia="pt-BR"/>
        </w:rPr>
        <w:t>Requisitos não funcionais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9"/>
        <w:gridCol w:w="2119"/>
        <w:gridCol w:w="2002"/>
        <w:gridCol w:w="1527"/>
        <w:gridCol w:w="1533"/>
      </w:tblGrid>
      <w:tr>
        <w:trPr>
          <w:trHeight w:val="521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Número de Ordem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>
          <w:trHeight w:val="315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Salvamento automático em armazenamento local.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Os formulários da aplicação devem salvar as alterações feitas pelo usuário a cada campo modificado.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315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2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Envio de documentos.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Os documentos de formulários da aplicação não devem demorar mais que 5 segundos para serem enviados.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Média.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Telas responsivas.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As telas da aplicação web devem ser responsivas para proporcionar o uso de todas as funcionalidades providas pelos requisitos funcionais em resoluções de 576px até 1080px.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Criptografia de senhas.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 aplicação deve garantir a segurança das senhas dos usuários, criptografando-as em sha256 ao serem inseridas no banco de dados.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RNF-05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Cores das telas.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As telas web da aplicação devem seguir a paleta de cores do Hospital São Francisco.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Autenticação e autorização.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Todos os logins na aplicação devem ser autenticados e autorizados os acessos a cada rota, por meio de JWT Bearer com expiração do token em 7 dias.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RNF-07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Persistência de arquivos.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A aplicação deve persistir os documentos e imagens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em arquivos fora do banco de dados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200"/>
        <w:ind w:hanging="0"/>
        <w:jc w:val="both"/>
        <w:rPr>
          <w:rFonts w:cs="Arial"/>
          <w:sz w:val="22"/>
          <w:szCs w:val="22"/>
          <w:lang w:eastAsia="pt-BR"/>
        </w:rPr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8ea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TtuloChar" w:customStyle="1">
    <w:name w:val="Título Char"/>
    <w:link w:val="Ttulo"/>
    <w:qFormat/>
    <w:rsid w:val="001a4337"/>
    <w:rPr>
      <w:rFonts w:ascii="Trebuchet MS" w:hAnsi="Trebuchet MS" w:eastAsia="Trebuchet MS" w:cs="Trebuchet MS"/>
      <w:color w:val="000000"/>
      <w:sz w:val="42"/>
    </w:r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qFormat/>
    <w:rsid w:val="00c1208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GradeClaranfase31" w:customStyle="1">
    <w:name w:val="Grade Clara - Ênfase 3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FreeForm" w:customStyle="1">
    <w:name w:val="Free Form"/>
    <w:qFormat/>
    <w:rsid w:val="002264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pt-BR" w:eastAsia="en-US" w:bidi="ar-SA"/>
    </w:rPr>
  </w:style>
  <w:style w:type="paragraph" w:styleId="Normal1" w:customStyle="1">
    <w:name w:val="Normal1"/>
    <w:qFormat/>
    <w:rsid w:val="001a433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paragraph" w:styleId="Ttulododocumento">
    <w:name w:val="Title"/>
    <w:basedOn w:val="Normal1"/>
    <w:next w:val="Normal1"/>
    <w:link w:val="TtuloChar"/>
    <w:qFormat/>
    <w:rsid w:val="001a4337"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Default" w:customStyle="1">
    <w:name w:val="Default"/>
    <w:qFormat/>
    <w:rsid w:val="00953a87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0368ea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1">
    <w:name w:val="Light List Accent 1"/>
    <w:basedOn w:val="Tabelanormal"/>
    <w:uiPriority w:val="61"/>
    <w:rsid w:val="006d599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2" ma:contentTypeDescription="Crie um novo documento." ma:contentTypeScope="" ma:versionID="8ebabd6d65f686981575d0b93a54b13e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c9534b7c377f6d2fa9c095349373a11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DED48-EBDB-4DD6-A1A9-2284243C02BD}"/>
</file>

<file path=customXml/itemProps2.xml><?xml version="1.0" encoding="utf-8"?>
<ds:datastoreItem xmlns:ds="http://schemas.openxmlformats.org/officeDocument/2006/customXml" ds:itemID="{E3D9D516-732D-490F-B07F-4F4367EA838C}"/>
</file>

<file path=customXml/itemProps3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1CFEC9-52E7-41EB-9CCF-906C0C80C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LibreOffice/7.0.3.1$Windows_X86_64 LibreOffice_project/d7547858d014d4cf69878db179d326fc3483e082</Application>
  <Pages>4</Pages>
  <Words>698</Words>
  <Characters>4021</Characters>
  <CharactersWithSpaces>4573</CharactersWithSpaces>
  <Paragraphs>146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2019-02-10T13:49:00Z</dcterms:created>
  <dc:creator>Sociedade Mineira de Cultura</dc:creator>
  <dc:description/>
  <dc:language>pt-BR</dc:language>
  <cp:lastModifiedBy/>
  <cp:lastPrinted>2013-03-18T18:49:00Z</cp:lastPrinted>
  <dcterms:modified xsi:type="dcterms:W3CDTF">2021-09-08T21:45:19Z</dcterms:modified>
  <cp:revision>10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ContentTypeId">
    <vt:lpwstr>0x01010000FBA8C9CA7D074F87DB17AF0068A8AE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