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2023-11-14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 la participación estudiantil del beneficiario de la beca del estudiante Juan Perez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 a las que el beneficiario ha asistido durante el período académico mencionado.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Juan Perez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