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2023-11-14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yuluka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Testimonio de ejemplo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yuluka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[informe_rendimiento_académico]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