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32F" w:rsidRPr="005A3FC5" w:rsidRDefault="00514DFF" w:rsidP="005A3FC5">
      <w:pPr>
        <w:pBdr>
          <w:bottom w:val="single" w:sz="4" w:space="1" w:color="auto"/>
        </w:pBdr>
        <w:spacing w:afterLines="80" w:after="192" w:line="23" w:lineRule="atLeast"/>
        <w:rPr>
          <w:b/>
          <w:sz w:val="24"/>
          <w:szCs w:val="24"/>
        </w:rPr>
      </w:pPr>
      <w:r w:rsidRPr="005A3FC5">
        <w:rPr>
          <w:b/>
          <w:sz w:val="24"/>
          <w:szCs w:val="24"/>
        </w:rPr>
        <w:t>Regression tree analysis implementation</w:t>
      </w:r>
      <w:r w:rsidR="005A3FC5" w:rsidRPr="005A3FC5">
        <w:rPr>
          <w:b/>
          <w:sz w:val="24"/>
          <w:szCs w:val="24"/>
        </w:rPr>
        <w:t xml:space="preserve"> - </w:t>
      </w:r>
      <w:r w:rsidR="005A3FC5" w:rsidRPr="005A3FC5">
        <w:rPr>
          <w:b/>
          <w:sz w:val="24"/>
          <w:szCs w:val="24"/>
        </w:rPr>
        <w:t>ADIA Studies 1&amp;3</w:t>
      </w:r>
    </w:p>
    <w:p w:rsidR="005A3FC5" w:rsidRDefault="005A3FC5" w:rsidP="005A3FC5">
      <w:pPr>
        <w:spacing w:after="80" w:line="276" w:lineRule="auto"/>
      </w:pPr>
      <w:r>
        <w:t xml:space="preserve">This </w:t>
      </w:r>
      <w:r w:rsidR="005422B0">
        <w:t xml:space="preserve">document outlines the </w:t>
      </w:r>
      <w:r>
        <w:t xml:space="preserve">code </w:t>
      </w:r>
      <w:r w:rsidR="005422B0">
        <w:t>implementing the</w:t>
      </w:r>
      <w:r>
        <w:t xml:space="preserve"> regression tree analysis for ADIA studies 1 and 3.</w:t>
      </w:r>
    </w:p>
    <w:p w:rsidR="00514DFF" w:rsidRDefault="00150F9E" w:rsidP="005422B0">
      <w:pPr>
        <w:spacing w:after="80" w:line="276" w:lineRule="auto"/>
      </w:pPr>
      <w:r w:rsidRPr="005422B0">
        <w:rPr>
          <w:noProof/>
          <w:u w:val="single"/>
        </w:rPr>
        <mc:AlternateContent>
          <mc:Choice Requires="wps">
            <w:drawing>
              <wp:anchor distT="45720" distB="45720" distL="114300" distR="114300" simplePos="0" relativeHeight="251663360" behindDoc="1" locked="0" layoutInCell="1" allowOverlap="1">
                <wp:simplePos x="0" y="0"/>
                <wp:positionH relativeFrom="column">
                  <wp:posOffset>3254375</wp:posOffset>
                </wp:positionH>
                <wp:positionV relativeFrom="paragraph">
                  <wp:posOffset>176530</wp:posOffset>
                </wp:positionV>
                <wp:extent cx="2859405" cy="4660265"/>
                <wp:effectExtent l="0" t="0" r="1714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4660265"/>
                        </a:xfrm>
                        <a:prstGeom prst="rect">
                          <a:avLst/>
                        </a:prstGeom>
                        <a:solidFill>
                          <a:srgbClr val="FFFFFF"/>
                        </a:solidFill>
                        <a:ln w="9525">
                          <a:solidFill>
                            <a:srgbClr val="000000"/>
                          </a:solidFill>
                          <a:miter lim="800000"/>
                          <a:headEnd/>
                          <a:tailEnd/>
                        </a:ln>
                      </wps:spPr>
                      <wps:txbx>
                        <w:txbxContent>
                          <w:p w:rsidR="00CA7B18" w:rsidRDefault="005A3FC5">
                            <w:r w:rsidRPr="005A3FC5">
                              <w:drawing>
                                <wp:inline distT="0" distB="0" distL="0" distR="0" wp14:anchorId="29C0EA61" wp14:editId="68EC6154">
                                  <wp:extent cx="2667635" cy="150026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635" cy="1500260"/>
                                          </a:xfrm>
                                          <a:prstGeom prst="rect">
                                            <a:avLst/>
                                          </a:prstGeom>
                                        </pic:spPr>
                                      </pic:pic>
                                    </a:graphicData>
                                  </a:graphic>
                                </wp:inline>
                              </w:drawing>
                            </w:r>
                            <w:r w:rsidRPr="005A3FC5">
                              <w:t xml:space="preserve"> </w:t>
                            </w:r>
                            <w:r w:rsidRPr="005A3FC5">
                              <w:drawing>
                                <wp:inline distT="0" distB="0" distL="0" distR="0" wp14:anchorId="44059603" wp14:editId="2558B8CC">
                                  <wp:extent cx="2667635" cy="150026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635" cy="1500260"/>
                                          </a:xfrm>
                                          <a:prstGeom prst="rect">
                                            <a:avLst/>
                                          </a:prstGeom>
                                        </pic:spPr>
                                      </pic:pic>
                                    </a:graphicData>
                                  </a:graphic>
                                </wp:inline>
                              </w:drawing>
                            </w:r>
                            <w:r w:rsidRPr="005A3FC5">
                              <w:t xml:space="preserve"> </w:t>
                            </w:r>
                            <w:r w:rsidRPr="005A3FC5">
                              <w:drawing>
                                <wp:inline distT="0" distB="0" distL="0" distR="0" wp14:anchorId="19FE5DCE" wp14:editId="4E61583D">
                                  <wp:extent cx="2667635" cy="150026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635" cy="15002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6.25pt;margin-top:13.9pt;width:225.15pt;height:366.9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">
                <v:textbox>
                  <w:txbxContent>
                    <w:p w:rsidR="00CA7B18" w:rsidRDefault="005A3FC5">
                      <w:r w:rsidRPr="005A3FC5">
                        <w:drawing>
                          <wp:inline distT="0" distB="0" distL="0" distR="0" wp14:anchorId="29C0EA61" wp14:editId="68EC6154">
                            <wp:extent cx="2667635" cy="150026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635" cy="1500260"/>
                                    </a:xfrm>
                                    <a:prstGeom prst="rect">
                                      <a:avLst/>
                                    </a:prstGeom>
                                  </pic:spPr>
                                </pic:pic>
                              </a:graphicData>
                            </a:graphic>
                          </wp:inline>
                        </w:drawing>
                      </w:r>
                      <w:r w:rsidRPr="005A3FC5">
                        <w:t xml:space="preserve"> </w:t>
                      </w:r>
                      <w:r w:rsidRPr="005A3FC5">
                        <w:drawing>
                          <wp:inline distT="0" distB="0" distL="0" distR="0" wp14:anchorId="44059603" wp14:editId="2558B8CC">
                            <wp:extent cx="2667635" cy="150026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635" cy="1500260"/>
                                    </a:xfrm>
                                    <a:prstGeom prst="rect">
                                      <a:avLst/>
                                    </a:prstGeom>
                                  </pic:spPr>
                                </pic:pic>
                              </a:graphicData>
                            </a:graphic>
                          </wp:inline>
                        </w:drawing>
                      </w:r>
                      <w:r w:rsidRPr="005A3FC5">
                        <w:t xml:space="preserve"> </w:t>
                      </w:r>
                      <w:r w:rsidRPr="005A3FC5">
                        <w:drawing>
                          <wp:inline distT="0" distB="0" distL="0" distR="0" wp14:anchorId="19FE5DCE" wp14:editId="4E61583D">
                            <wp:extent cx="2667635" cy="150026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635" cy="1500260"/>
                                    </a:xfrm>
                                    <a:prstGeom prst="rect">
                                      <a:avLst/>
                                    </a:prstGeom>
                                  </pic:spPr>
                                </pic:pic>
                              </a:graphicData>
                            </a:graphic>
                          </wp:inline>
                        </w:drawing>
                      </w:r>
                    </w:p>
                  </w:txbxContent>
                </v:textbox>
                <w10:wrap type="square"/>
              </v:shape>
            </w:pict>
          </mc:Fallback>
        </mc:AlternateContent>
      </w:r>
      <w:r w:rsidR="005422B0" w:rsidRPr="005422B0">
        <w:rPr>
          <w:u w:val="single"/>
        </w:rPr>
        <w:t>‘0.preprocess.r</w:t>
      </w:r>
      <w:r w:rsidR="005422B0">
        <w:rPr>
          <w:u w:val="single"/>
        </w:rPr>
        <w:t>’:</w:t>
      </w:r>
      <w:r w:rsidR="005422B0">
        <w:t xml:space="preserve"> </w:t>
      </w:r>
      <w:r w:rsidR="00514DFF">
        <w:t xml:space="preserve">Create </w:t>
      </w:r>
      <w:r w:rsidR="00603E07">
        <w:t xml:space="preserve">separate </w:t>
      </w:r>
      <w:r w:rsidR="00514DFF">
        <w:t xml:space="preserve">training and </w:t>
      </w:r>
      <w:r w:rsidR="00603E07">
        <w:t xml:space="preserve">estimation </w:t>
      </w:r>
      <w:r w:rsidR="00514DFF">
        <w:t xml:space="preserve">sample </w:t>
      </w:r>
    </w:p>
    <w:p w:rsidR="005A3FC5" w:rsidRDefault="005A3FC5" w:rsidP="005A3FC5">
      <w:pPr>
        <w:pStyle w:val="ListParagraph"/>
        <w:numPr>
          <w:ilvl w:val="0"/>
          <w:numId w:val="3"/>
        </w:numPr>
        <w:spacing w:after="80" w:line="276" w:lineRule="auto"/>
      </w:pPr>
      <w:r>
        <w:t>U</w:t>
      </w:r>
      <w:r w:rsidR="00514DFF">
        <w:t>se stratified random sample</w:t>
      </w:r>
      <w:r w:rsidR="005D3E5A">
        <w:t xml:space="preserve"> </w:t>
      </w:r>
      <w:r w:rsidR="00603E07">
        <w:t>(</w:t>
      </w:r>
      <w:r w:rsidR="00603E07">
        <w:t xml:space="preserve">stratified </w:t>
      </w:r>
      <w:r w:rsidR="00603E07">
        <w:t xml:space="preserve">by demographics </w:t>
      </w:r>
      <w:r w:rsidR="00603E07">
        <w:t xml:space="preserve">characteristics </w:t>
      </w:r>
      <w:r w:rsidR="00603E07">
        <w:t xml:space="preserve">and </w:t>
      </w:r>
      <w:r w:rsidR="00603E07" w:rsidRPr="005D3E5A">
        <w:t>any</w:t>
      </w:r>
      <w:r w:rsidR="00603E07">
        <w:t xml:space="preserve"> </w:t>
      </w:r>
      <w:r w:rsidR="00603E07" w:rsidRPr="005D3E5A">
        <w:t>ACE</w:t>
      </w:r>
      <w:r w:rsidR="00603E07">
        <w:t>)</w:t>
      </w:r>
    </w:p>
    <w:p w:rsidR="00514DFF" w:rsidRDefault="005422B0" w:rsidP="005422B0">
      <w:pPr>
        <w:spacing w:after="80" w:line="276" w:lineRule="auto"/>
      </w:pPr>
      <w:r w:rsidRPr="005422B0">
        <w:rPr>
          <w:u w:val="single"/>
        </w:rPr>
        <w:t>‘1.rtree.r’</w:t>
      </w:r>
      <w:r>
        <w:t xml:space="preserve">: </w:t>
      </w:r>
      <w:r w:rsidR="00514DFF">
        <w:t xml:space="preserve">Implement regression tree </w:t>
      </w:r>
      <w:r w:rsidR="00603E07">
        <w:t xml:space="preserve">using </w:t>
      </w:r>
      <w:r w:rsidR="00F72A8D">
        <w:t xml:space="preserve">training </w:t>
      </w:r>
      <w:r w:rsidR="00150F9E">
        <w:t>sample</w:t>
      </w:r>
    </w:p>
    <w:p w:rsidR="00320907" w:rsidRDefault="00320907" w:rsidP="005A3FC5">
      <w:pPr>
        <w:pStyle w:val="ListParagraph"/>
        <w:numPr>
          <w:ilvl w:val="0"/>
          <w:numId w:val="3"/>
        </w:numPr>
        <w:spacing w:after="80" w:line="276" w:lineRule="auto"/>
      </w:pPr>
      <w:r>
        <w:t>I</w:t>
      </w:r>
      <w:r w:rsidR="005422B0">
        <w:t>ncorporate</w:t>
      </w:r>
      <w:r>
        <w:t xml:space="preserve"> sampling weights</w:t>
      </w:r>
    </w:p>
    <w:p w:rsidR="00320907" w:rsidRDefault="005422B0" w:rsidP="005A3FC5">
      <w:pPr>
        <w:pStyle w:val="ListParagraph"/>
        <w:numPr>
          <w:ilvl w:val="0"/>
          <w:numId w:val="3"/>
        </w:numPr>
        <w:spacing w:after="80" w:line="276" w:lineRule="auto"/>
      </w:pPr>
      <w:r>
        <w:t>Use</w:t>
      </w:r>
      <w:r w:rsidR="00603E07">
        <w:t xml:space="preserve"> all cases</w:t>
      </w:r>
      <w:r w:rsidR="004F2C66">
        <w:t>,</w:t>
      </w:r>
      <w:r w:rsidR="00603E07">
        <w:t xml:space="preserve"> even </w:t>
      </w:r>
      <w:r w:rsidR="004F2C66">
        <w:t xml:space="preserve">if missing covariate info </w:t>
      </w:r>
      <w:r w:rsidR="00320907">
        <w:t>(surrogate)</w:t>
      </w:r>
    </w:p>
    <w:p w:rsidR="00320907" w:rsidRDefault="00603E07" w:rsidP="005A3FC5">
      <w:pPr>
        <w:pStyle w:val="ListParagraph"/>
        <w:numPr>
          <w:ilvl w:val="0"/>
          <w:numId w:val="3"/>
        </w:numPr>
        <w:spacing w:after="80" w:line="276" w:lineRule="auto"/>
      </w:pPr>
      <w:r>
        <w:t>3</w:t>
      </w:r>
      <w:r w:rsidR="00320907">
        <w:t xml:space="preserve"> </w:t>
      </w:r>
      <w:r>
        <w:t xml:space="preserve">variants </w:t>
      </w:r>
    </w:p>
    <w:p w:rsidR="00603E07" w:rsidRDefault="00603E07" w:rsidP="005422B0">
      <w:pPr>
        <w:pStyle w:val="ListParagraph"/>
        <w:numPr>
          <w:ilvl w:val="0"/>
          <w:numId w:val="5"/>
        </w:numPr>
        <w:spacing w:after="80" w:line="276" w:lineRule="auto"/>
      </w:pPr>
      <w:r>
        <w:t>Classical</w:t>
      </w:r>
      <w:r w:rsidR="004F2C66">
        <w:t xml:space="preserve"> </w:t>
      </w:r>
      <w:r w:rsidR="004F2C66" w:rsidRPr="004B03D4">
        <w:fldChar w:fldCharType="begin"/>
      </w:r>
      <w:r w:rsidR="004F2C66" w:rsidRPr="004B03D4">
        <w:instrText xml:space="preserve"> ADDIN ZOTERO_ITEM CSL_CITATION {"citationID":"naRUIZMd","properties":{"formattedCitation":"(Breiman, 1998)","plainCitation":"(Breiman, 1998)","noteIndex":0},"citationItems":[{"id":440,"uris":["http://zotero.org/users/6411923/items/ZCFICIC3"],"itemData":{"id":440,"type":"book","edition":"Repr","event-place":"Boca Raton","ISBN":"978-0-412-04841-8","language":"eng","note":"OCLC: 247053926","number-of-pages":"358","publisher":"Chapman &amp; Hall [u.a.]","publisher-place":"Boca Raton","source":"Gemeinsamer Bibliotheksverbund ISBN","title":"Classification and regression trees","editor":[{"family":"Breiman","given":"Leo"}],"issued":{"date-parts":[["1998"]]}}}],"schema":"https://github.com/citation-style-language/schema/raw/master/csl-citation.json"} </w:instrText>
      </w:r>
      <w:r w:rsidR="004F2C66" w:rsidRPr="004B03D4">
        <w:fldChar w:fldCharType="separate"/>
      </w:r>
      <w:r w:rsidR="004F2C66" w:rsidRPr="005422B0">
        <w:rPr>
          <w:rFonts w:ascii="Calibri" w:hAnsi="Calibri" w:cs="Calibri"/>
        </w:rPr>
        <w:t>(</w:t>
      </w:r>
      <w:proofErr w:type="spellStart"/>
      <w:r w:rsidR="004F2C66" w:rsidRPr="005422B0">
        <w:rPr>
          <w:rFonts w:ascii="Calibri" w:hAnsi="Calibri" w:cs="Calibri"/>
        </w:rPr>
        <w:t>Breiman</w:t>
      </w:r>
      <w:proofErr w:type="spellEnd"/>
      <w:r w:rsidR="004F2C66" w:rsidRPr="005422B0">
        <w:rPr>
          <w:rFonts w:ascii="Calibri" w:hAnsi="Calibri" w:cs="Calibri"/>
        </w:rPr>
        <w:t>, 1998)</w:t>
      </w:r>
      <w:r w:rsidR="004F2C66" w:rsidRPr="004B03D4">
        <w:fldChar w:fldCharType="end"/>
      </w:r>
      <w:r w:rsidR="00937391">
        <w:t xml:space="preserve"> </w:t>
      </w:r>
    </w:p>
    <w:p w:rsidR="00937391" w:rsidRPr="004B03D4" w:rsidRDefault="00603E07" w:rsidP="005422B0">
      <w:pPr>
        <w:spacing w:after="80" w:line="276" w:lineRule="auto"/>
        <w:ind w:left="360"/>
      </w:pPr>
      <w:r>
        <w:t>A</w:t>
      </w:r>
      <w:r w:rsidR="00514DFF" w:rsidRPr="004B03D4">
        <w:t>ll predictors</w:t>
      </w:r>
      <w:r w:rsidR="00B21286" w:rsidRPr="004B03D4">
        <w:t xml:space="preserve"> (</w:t>
      </w:r>
      <w:r w:rsidR="004F2C66">
        <w:t>either e</w:t>
      </w:r>
      <w:r>
        <w:t>xposure or background characteristics</w:t>
      </w:r>
      <w:r w:rsidR="00B21286" w:rsidRPr="004B03D4">
        <w:t>)</w:t>
      </w:r>
      <w:r w:rsidR="00514DFF" w:rsidRPr="004B03D4">
        <w:t xml:space="preserve"> </w:t>
      </w:r>
      <w:r w:rsidR="005422B0">
        <w:t xml:space="preserve">are </w:t>
      </w:r>
      <w:r w:rsidR="00937391">
        <w:t xml:space="preserve">treated </w:t>
      </w:r>
      <w:r w:rsidR="00937391" w:rsidRPr="00937391">
        <w:t>symmetrically</w:t>
      </w:r>
      <w:r>
        <w:t xml:space="preserve"> </w:t>
      </w:r>
    </w:p>
    <w:p w:rsidR="00603E07" w:rsidRDefault="00603E07" w:rsidP="005422B0">
      <w:pPr>
        <w:pStyle w:val="ListParagraph"/>
        <w:numPr>
          <w:ilvl w:val="0"/>
          <w:numId w:val="5"/>
        </w:numPr>
        <w:spacing w:after="80" w:line="276" w:lineRule="auto"/>
      </w:pPr>
      <w:r>
        <w:t>Conditional</w:t>
      </w:r>
      <w:r w:rsidR="004F2C66">
        <w:t xml:space="preserve"> </w:t>
      </w:r>
      <w:r w:rsidR="004F2C66" w:rsidRPr="004B03D4">
        <w:fldChar w:fldCharType="begin"/>
      </w:r>
      <w:r w:rsidR="004F2C66" w:rsidRPr="004B03D4">
        <w:instrText xml:space="preserve"> ADDIN ZOTERO_ITEM CSL_CITATION {"citationID":"Z5IKubyb","properties":{"formattedCitation":"(Stanfill et al., 2019)","plainCitation":"(Stanfill et al., 2019)","noteIndex":0},"citationItems":[{"id":1538,"uris":["http://zotero.org/users/6411923/items/3M43NJGT"],"itemData":{"id":1538,"type":"article-journal","abstract":"Classification is a common technique applied to ’omics data to build predictive models and identify potential markers of biomedical outcomes. Despite the prevalence of case-control studies, the number of classification methods available to analyze data generated by such studies is extremely limited. Conditional logistic regression is the most commonly used technique, but the associated modeling assumptions limit its ability to identify a large class of sufficiently complicated ’omic signatures. We propose a data preprocessing step which generalizes and makes any linear or nonlinear classification algorithm, even those typically not appropriate for matched design data, available to be used to model case-control data and identify relevant biomarkers in these study designs. We demonstrate on simulated case-control data that both the classification and variable selection accuracy of each method is improved after applying this processing step and that the proposed methods are comparable to or outperform existing variable selection methods. Finally, we demonstrate the impact of conditional classification algorithms on a large cohort study of children with islet autoimmunity.","container-title":"Biomedical Engineering and Computational Biology","DOI":"10.1177/1179597219858954","ISSN":"1179-5972, 1179-5972","journalAbbreviation":"Biomed Eng Comput Biol","language":"en","page":"117959721985895","source":"DOI.org (Crossref)","title":"Extending Classification Algorithms to Case-Control Studies","volume":"10","author":[{"family":"Stanfill","given":"Bryan"},{"family":"Reehl","given":"Sarah"},{"family":"Bramer","given":"Lisa"},{"family":"Nakayasu","given":"Ernesto S"},{"family":"Rich","given":"Stephen S"},{"family":"Metz","given":"Thomas O"},{"family":"Rewers","given":"Marian"},{"family":"Webb-Robertson","given":"Bobbie-Jo"},{"literal":"TEDDY Study Group"}],"issued":{"date-parts":[["2019",1]]}}}],"schema":"https://github.com/citation-style-language/schema/raw/master/csl-citation.json"} </w:instrText>
      </w:r>
      <w:r w:rsidR="004F2C66" w:rsidRPr="004B03D4">
        <w:fldChar w:fldCharType="separate"/>
      </w:r>
      <w:r w:rsidR="004F2C66" w:rsidRPr="005422B0">
        <w:rPr>
          <w:rFonts w:ascii="Calibri" w:hAnsi="Calibri" w:cs="Calibri"/>
        </w:rPr>
        <w:t>(</w:t>
      </w:r>
      <w:proofErr w:type="spellStart"/>
      <w:r w:rsidR="004F2C66" w:rsidRPr="005422B0">
        <w:rPr>
          <w:rFonts w:ascii="Calibri" w:hAnsi="Calibri" w:cs="Calibri"/>
        </w:rPr>
        <w:t>Stanfill</w:t>
      </w:r>
      <w:proofErr w:type="spellEnd"/>
      <w:r w:rsidR="004F2C66" w:rsidRPr="005422B0">
        <w:rPr>
          <w:rFonts w:ascii="Calibri" w:hAnsi="Calibri" w:cs="Calibri"/>
        </w:rPr>
        <w:t xml:space="preserve"> et al., 2019)</w:t>
      </w:r>
      <w:r w:rsidR="004F2C66" w:rsidRPr="004B03D4">
        <w:fldChar w:fldCharType="end"/>
      </w:r>
      <w:r w:rsidR="00937391" w:rsidRPr="00937391">
        <w:rPr>
          <w:noProof/>
        </w:rPr>
        <w:t xml:space="preserve"> </w:t>
      </w:r>
    </w:p>
    <w:p w:rsidR="00937391" w:rsidRPr="004B03D4" w:rsidRDefault="00603E07" w:rsidP="00150F9E">
      <w:pPr>
        <w:spacing w:after="80" w:line="276" w:lineRule="auto"/>
        <w:ind w:left="360"/>
      </w:pPr>
      <w:r>
        <w:t>The importance of e</w:t>
      </w:r>
      <w:r w:rsidR="00514DFF" w:rsidRPr="004B03D4">
        <w:t>xposure</w:t>
      </w:r>
      <w:r w:rsidR="004F2C66">
        <w:t xml:space="preserve"> to ACEs</w:t>
      </w:r>
      <w:r>
        <w:t xml:space="preserve"> </w:t>
      </w:r>
      <w:r w:rsidR="004F2C66">
        <w:t xml:space="preserve">and OCS </w:t>
      </w:r>
      <w:r>
        <w:t xml:space="preserve">is examined </w:t>
      </w:r>
      <w:r w:rsidR="00514DFF" w:rsidRPr="004B03D4">
        <w:t>after adjusting</w:t>
      </w:r>
      <w:r w:rsidR="005422B0">
        <w:t xml:space="preserve"> for</w:t>
      </w:r>
      <w:r w:rsidR="00514DFF" w:rsidRPr="004B03D4">
        <w:t xml:space="preserve"> </w:t>
      </w:r>
      <w:r>
        <w:t>background characteristics</w:t>
      </w:r>
      <w:r w:rsidR="005422B0">
        <w:t>.</w:t>
      </w:r>
      <w:r w:rsidR="00150F9E">
        <w:t xml:space="preserve"> </w:t>
      </w:r>
      <w:r w:rsidR="00C57A0D">
        <w:t>C</w:t>
      </w:r>
      <w:r w:rsidR="00150F9E">
        <w:t>an only handle a limited number of strata.</w:t>
      </w:r>
    </w:p>
    <w:p w:rsidR="00603E07" w:rsidRDefault="00F72A8D" w:rsidP="005422B0">
      <w:pPr>
        <w:pStyle w:val="ListParagraph"/>
        <w:numPr>
          <w:ilvl w:val="0"/>
          <w:numId w:val="5"/>
        </w:numPr>
        <w:spacing w:after="80" w:line="276" w:lineRule="auto"/>
      </w:pPr>
      <w:r w:rsidRPr="004B03D4">
        <w:t>Causal</w:t>
      </w:r>
      <w:r w:rsidR="004F2C66">
        <w:t xml:space="preserve"> </w:t>
      </w:r>
      <w:r w:rsidR="004F2C66">
        <w:fldChar w:fldCharType="begin"/>
      </w:r>
      <w:r w:rsidR="004F2C66">
        <w:instrText xml:space="preserve"> ADDIN ZOTERO_ITEM CSL_CITATION {"citationID":"KnZMnLjv","properties":{"formattedCitation":"(Athey &amp; Imbens, 2015)","plainCitation":"(Athey &amp; Imbens, 2015)","noteIndex":0},"citationItems":[{"id":1540,"uris":["http://zotero.org/users/6411923/items/EK4EVEJQ"],"itemData":{"id":1540,"type":"article-journal","abstract":"In this paper we study the problems of estimating heterogeneity in causal effects in experimental or observational studies and conducting inference about the magnitude of the differences in treatment effects across subsets of the population. In applications, our method provides a data-driven approach to determine which subpopulations have large or small treatment effects and to test hypotheses about the differences in these effects. For experiments, our method allows researchers to identify heterogeneity in treatment effects that was not specified in a pre-analysis plan, without concern about invalidating inference due to multiple testing. In most of the literature on supervised machine learning (e.g. regression trees, random forests, LASSO, etc.), the goal is to build a model of the relationship between a unit's attributes and an observed outcome. A prominent role in these methods is played by cross-validation which compares predictions to actual outcomes in test samples, in order to select the level of complexity of the model that provides the best predictive power. Our method is closely related, but it differs in that it is tailored for predicting causal effects of a treatment rather than a unit's outcome. The challenge is that the \"ground truth\" for a causal effect is not observed for any individual unit: we observe the unit with the treatment, or without the treatment, but not both at the same time. Thus, it is not obvious how to use cross-validation to determine whether a causal effect has been accurately predicted. We propose several novel cross-validation criteria for this problem and demonstrate through simulations the conditions under which they perform better than standard methods for the problem of causal effects. We then apply the method to a large-scale field experiment re-ranking results on a search engine.","DOI":"10.48550/ARXIV.1504.01132","license":"arXiv.org perpetual, non-exclusive license","note":"publisher: arXiv\nversion: 3","source":"DOI.org (Datacite)","title":"Recursive Partitioning for Heterogeneous Causal Effects","URL":"https://arxiv.org/abs/1504.01132","author":[{"family":"Athey","given":"Susan"},{"family":"Imbens","given":"Guido"}],"accessed":{"date-parts":[["2022",8,24]]},"issued":{"date-parts":[["2015"]]}}}],"schema":"https://github.com/citation-style-language/schema/raw/master/csl-citation.json"} </w:instrText>
      </w:r>
      <w:r w:rsidR="004F2C66">
        <w:fldChar w:fldCharType="separate"/>
      </w:r>
      <w:r w:rsidR="004F2C66" w:rsidRPr="005422B0">
        <w:rPr>
          <w:rFonts w:ascii="Calibri" w:hAnsi="Calibri" w:cs="Calibri"/>
        </w:rPr>
        <w:t>(</w:t>
      </w:r>
      <w:proofErr w:type="spellStart"/>
      <w:r w:rsidR="004F2C66" w:rsidRPr="005422B0">
        <w:rPr>
          <w:rFonts w:ascii="Calibri" w:hAnsi="Calibri" w:cs="Calibri"/>
        </w:rPr>
        <w:t>Athey</w:t>
      </w:r>
      <w:proofErr w:type="spellEnd"/>
      <w:r w:rsidR="004F2C66" w:rsidRPr="005422B0">
        <w:rPr>
          <w:rFonts w:ascii="Calibri" w:hAnsi="Calibri" w:cs="Calibri"/>
        </w:rPr>
        <w:t xml:space="preserve"> &amp; </w:t>
      </w:r>
      <w:proofErr w:type="spellStart"/>
      <w:r w:rsidR="004F2C66" w:rsidRPr="005422B0">
        <w:rPr>
          <w:rFonts w:ascii="Calibri" w:hAnsi="Calibri" w:cs="Calibri"/>
        </w:rPr>
        <w:t>Imbens</w:t>
      </w:r>
      <w:proofErr w:type="spellEnd"/>
      <w:r w:rsidR="004F2C66" w:rsidRPr="005422B0">
        <w:rPr>
          <w:rFonts w:ascii="Calibri" w:hAnsi="Calibri" w:cs="Calibri"/>
        </w:rPr>
        <w:t>, 2015)</w:t>
      </w:r>
      <w:r w:rsidR="004F2C66">
        <w:fldChar w:fldCharType="end"/>
      </w:r>
      <w:r w:rsidR="00937391" w:rsidRPr="00937391">
        <w:rPr>
          <w:noProof/>
        </w:rPr>
        <w:t xml:space="preserve"> </w:t>
      </w:r>
    </w:p>
    <w:p w:rsidR="005D3E5A" w:rsidRDefault="004F2C66" w:rsidP="005422B0">
      <w:pPr>
        <w:spacing w:after="80" w:line="276" w:lineRule="auto"/>
        <w:ind w:left="360"/>
      </w:pPr>
      <w:r>
        <w:t xml:space="preserve">Focuses </w:t>
      </w:r>
      <w:r w:rsidR="00603E07">
        <w:t>on how</w:t>
      </w:r>
      <w:r w:rsidR="00514DFF" w:rsidRPr="004B03D4">
        <w:t xml:space="preserve"> </w:t>
      </w:r>
      <w:r>
        <w:t xml:space="preserve">OCS and </w:t>
      </w:r>
      <w:r>
        <w:t>background characteristics</w:t>
      </w:r>
      <w:r w:rsidRPr="004B03D4">
        <w:t xml:space="preserve"> </w:t>
      </w:r>
      <w:r w:rsidR="00514DFF" w:rsidRPr="004B03D4">
        <w:t>modif</w:t>
      </w:r>
      <w:r w:rsidR="00320907" w:rsidRPr="004B03D4">
        <w:t>y</w:t>
      </w:r>
      <w:r w:rsidR="00514DFF" w:rsidRPr="004B03D4">
        <w:t xml:space="preserve"> </w:t>
      </w:r>
      <w:r>
        <w:t xml:space="preserve">the </w:t>
      </w:r>
      <w:r w:rsidR="00514DFF" w:rsidRPr="004B03D4">
        <w:t xml:space="preserve">causal relationship between </w:t>
      </w:r>
      <w:r>
        <w:t xml:space="preserve">conventional </w:t>
      </w:r>
      <w:r w:rsidR="00514DFF">
        <w:t>ACEs and outcomes</w:t>
      </w:r>
      <w:r w:rsidR="00150F9E">
        <w:t xml:space="preserve">. Start by estimating casual </w:t>
      </w:r>
      <w:r w:rsidR="00C57A0D">
        <w:t xml:space="preserve">effect of </w:t>
      </w:r>
      <w:r w:rsidR="00C57A0D">
        <w:t xml:space="preserve">conventional ACEs </w:t>
      </w:r>
      <w:r w:rsidR="00150F9E">
        <w:t>adjusting for observed confounding.</w:t>
      </w:r>
      <w:bookmarkStart w:id="0" w:name="_GoBack"/>
      <w:bookmarkEnd w:id="0"/>
    </w:p>
    <w:p w:rsidR="00514DFF" w:rsidRDefault="005422B0" w:rsidP="005422B0">
      <w:pPr>
        <w:spacing w:after="80" w:line="276" w:lineRule="auto"/>
      </w:pPr>
      <w:r w:rsidRPr="005422B0">
        <w:rPr>
          <w:u w:val="single"/>
        </w:rPr>
        <w:t>‘2.inference.r’</w:t>
      </w:r>
      <w:r>
        <w:t xml:space="preserve">: </w:t>
      </w:r>
      <w:r w:rsidR="00F72A8D">
        <w:t>Obtain i</w:t>
      </w:r>
      <w:r w:rsidR="00514DFF">
        <w:t xml:space="preserve">nference using the </w:t>
      </w:r>
      <w:r w:rsidR="00603E07">
        <w:t>estimation sa</w:t>
      </w:r>
      <w:r w:rsidR="00514DFF">
        <w:t>mple</w:t>
      </w:r>
    </w:p>
    <w:p w:rsidR="00514DFF" w:rsidRDefault="005D3E5A" w:rsidP="005A3FC5">
      <w:pPr>
        <w:pStyle w:val="ListParagraph"/>
        <w:numPr>
          <w:ilvl w:val="0"/>
          <w:numId w:val="3"/>
        </w:numPr>
        <w:spacing w:after="80" w:line="276" w:lineRule="auto"/>
      </w:pPr>
      <w:r>
        <w:t>Us</w:t>
      </w:r>
      <w:r w:rsidR="005422B0">
        <w:t>e</w:t>
      </w:r>
      <w:r w:rsidR="00603E07">
        <w:t xml:space="preserve"> </w:t>
      </w:r>
      <w:proofErr w:type="spellStart"/>
      <w:r w:rsidRPr="005D3E5A">
        <w:t>svyglm</w:t>
      </w:r>
      <w:proofErr w:type="spellEnd"/>
      <w:r>
        <w:t xml:space="preserve"> to incorporate sampling d</w:t>
      </w:r>
      <w:r w:rsidR="005422B0">
        <w:t>e</w:t>
      </w:r>
      <w:r>
        <w:t>sign</w:t>
      </w:r>
      <w:r w:rsidR="00B21286">
        <w:t xml:space="preserve"> </w:t>
      </w:r>
      <w:r w:rsidR="00B21286">
        <w:fldChar w:fldCharType="begin"/>
      </w:r>
      <w:r w:rsidR="00B21286">
        <w:instrText xml:space="preserve"> ADDIN ZOTERO_ITEM CSL_CITATION {"citationID":"V0zWy0SV","properties":{"formattedCitation":"(Lumley, 2004)","plainCitation":"(Lumley, 2004)","noteIndex":0},"citationItems":[{"id":1544,"uris":["http://zotero.org/users/6411923/items/LEGSCW88"],"itemData":{"id":1544,"type":"article-journal","container-title":"Journal of Statistical Software","DOI":"10.18637/jss.v009.i08","ISSN":"1548-7660","issue":"8","journalAbbreviation":"J. Stat. Soft.","language":"en","source":"DOI.org (Crossref)","title":"Analysis of Complex Survey Samples","URL":"http://www.jstatsoft.org/v09/i08/","volume":"9","author":[{"family":"Lumley","given":"Thomas"}],"accessed":{"date-parts":[["2022",8,24]]},"issued":{"date-parts":[["2004"]]}}}],"schema":"https://github.com/citation-style-language/schema/raw/master/csl-citation.json"} </w:instrText>
      </w:r>
      <w:r w:rsidR="00B21286">
        <w:fldChar w:fldCharType="separate"/>
      </w:r>
      <w:r w:rsidR="00B21286" w:rsidRPr="00B21286">
        <w:rPr>
          <w:rFonts w:ascii="Calibri" w:hAnsi="Calibri" w:cs="Calibri"/>
        </w:rPr>
        <w:t>(Lumley, 2004)</w:t>
      </w:r>
      <w:r w:rsidR="00B21286">
        <w:fldChar w:fldCharType="end"/>
      </w:r>
    </w:p>
    <w:p w:rsidR="00320907" w:rsidRPr="0055714C" w:rsidRDefault="00B21286" w:rsidP="00150F9E">
      <w:pPr>
        <w:spacing w:before="240" w:afterLines="80" w:after="192" w:line="23" w:lineRule="atLeast"/>
        <w:rPr>
          <w:u w:val="single"/>
        </w:rPr>
      </w:pPr>
      <w:r w:rsidRPr="0055714C">
        <w:rPr>
          <w:u w:val="single"/>
        </w:rPr>
        <w:t>References</w:t>
      </w:r>
    </w:p>
    <w:p w:rsidR="00B21286" w:rsidRPr="00B21286" w:rsidRDefault="00B21286" w:rsidP="005A3FC5">
      <w:pPr>
        <w:pStyle w:val="Bibliography"/>
        <w:spacing w:line="23" w:lineRule="atLeast"/>
        <w:rPr>
          <w:rFonts w:ascii="Calibri" w:hAnsi="Calibri" w:cs="Calibri"/>
        </w:rPr>
      </w:pPr>
      <w:r>
        <w:fldChar w:fldCharType="begin"/>
      </w:r>
      <w:r>
        <w:instrText xml:space="preserve"> ADDIN ZOTERO_BIBL {"uncited":[],"omitted":[],"custom":[]} CSL_BIBLIOGRAPHY </w:instrText>
      </w:r>
      <w:r>
        <w:fldChar w:fldCharType="separate"/>
      </w:r>
      <w:proofErr w:type="spellStart"/>
      <w:r w:rsidRPr="00B21286">
        <w:rPr>
          <w:rFonts w:ascii="Calibri" w:hAnsi="Calibri" w:cs="Calibri"/>
        </w:rPr>
        <w:t>Athey</w:t>
      </w:r>
      <w:proofErr w:type="spellEnd"/>
      <w:r w:rsidRPr="00B21286">
        <w:rPr>
          <w:rFonts w:ascii="Calibri" w:hAnsi="Calibri" w:cs="Calibri"/>
        </w:rPr>
        <w:t xml:space="preserve">, S., &amp; </w:t>
      </w:r>
      <w:proofErr w:type="spellStart"/>
      <w:r w:rsidRPr="00B21286">
        <w:rPr>
          <w:rFonts w:ascii="Calibri" w:hAnsi="Calibri" w:cs="Calibri"/>
        </w:rPr>
        <w:t>Imbens</w:t>
      </w:r>
      <w:proofErr w:type="spellEnd"/>
      <w:r w:rsidRPr="00B21286">
        <w:rPr>
          <w:rFonts w:ascii="Calibri" w:hAnsi="Calibri" w:cs="Calibri"/>
        </w:rPr>
        <w:t xml:space="preserve">, G. (2015). </w:t>
      </w:r>
      <w:r w:rsidRPr="00B21286">
        <w:rPr>
          <w:rFonts w:ascii="Calibri" w:hAnsi="Calibri" w:cs="Calibri"/>
          <w:i/>
          <w:iCs/>
        </w:rPr>
        <w:t>Recursive Partitioning for Heterogeneous Causal Effects</w:t>
      </w:r>
      <w:r w:rsidRPr="00B21286">
        <w:rPr>
          <w:rFonts w:ascii="Calibri" w:hAnsi="Calibri" w:cs="Calibri"/>
        </w:rPr>
        <w:t>. https://doi.org/10.48550/ARXIV.1504.01132</w:t>
      </w:r>
    </w:p>
    <w:p w:rsidR="00B21286" w:rsidRPr="00B21286" w:rsidRDefault="00B21286" w:rsidP="005A3FC5">
      <w:pPr>
        <w:pStyle w:val="Bibliography"/>
        <w:spacing w:line="23" w:lineRule="atLeast"/>
        <w:rPr>
          <w:rFonts w:ascii="Calibri" w:hAnsi="Calibri" w:cs="Calibri"/>
        </w:rPr>
      </w:pPr>
      <w:proofErr w:type="spellStart"/>
      <w:r w:rsidRPr="00B21286">
        <w:rPr>
          <w:rFonts w:ascii="Calibri" w:hAnsi="Calibri" w:cs="Calibri"/>
        </w:rPr>
        <w:t>Breiman</w:t>
      </w:r>
      <w:proofErr w:type="spellEnd"/>
      <w:r w:rsidRPr="00B21286">
        <w:rPr>
          <w:rFonts w:ascii="Calibri" w:hAnsi="Calibri" w:cs="Calibri"/>
        </w:rPr>
        <w:t xml:space="preserve">, L. (Ed.). (1998). </w:t>
      </w:r>
      <w:r w:rsidRPr="00B21286">
        <w:rPr>
          <w:rFonts w:ascii="Calibri" w:hAnsi="Calibri" w:cs="Calibri"/>
          <w:i/>
          <w:iCs/>
        </w:rPr>
        <w:t>Classification and regression trees</w:t>
      </w:r>
      <w:r w:rsidRPr="00B21286">
        <w:rPr>
          <w:rFonts w:ascii="Calibri" w:hAnsi="Calibri" w:cs="Calibri"/>
        </w:rPr>
        <w:t xml:space="preserve"> (</w:t>
      </w:r>
      <w:proofErr w:type="spellStart"/>
      <w:r w:rsidRPr="00B21286">
        <w:rPr>
          <w:rFonts w:ascii="Calibri" w:hAnsi="Calibri" w:cs="Calibri"/>
        </w:rPr>
        <w:t>Repr</w:t>
      </w:r>
      <w:proofErr w:type="spellEnd"/>
      <w:r w:rsidRPr="00B21286">
        <w:rPr>
          <w:rFonts w:ascii="Calibri" w:hAnsi="Calibri" w:cs="Calibri"/>
        </w:rPr>
        <w:t>). Chapman &amp; Hall [</w:t>
      </w:r>
      <w:proofErr w:type="spellStart"/>
      <w:r w:rsidRPr="00B21286">
        <w:rPr>
          <w:rFonts w:ascii="Calibri" w:hAnsi="Calibri" w:cs="Calibri"/>
        </w:rPr>
        <w:t>u.a</w:t>
      </w:r>
      <w:proofErr w:type="spellEnd"/>
      <w:r w:rsidRPr="00B21286">
        <w:rPr>
          <w:rFonts w:ascii="Calibri" w:hAnsi="Calibri" w:cs="Calibri"/>
        </w:rPr>
        <w:t>.].</w:t>
      </w:r>
    </w:p>
    <w:p w:rsidR="00B21286" w:rsidRPr="00B21286" w:rsidRDefault="00B21286" w:rsidP="005A3FC5">
      <w:pPr>
        <w:pStyle w:val="Bibliography"/>
        <w:spacing w:line="23" w:lineRule="atLeast"/>
        <w:rPr>
          <w:rFonts w:ascii="Calibri" w:hAnsi="Calibri" w:cs="Calibri"/>
        </w:rPr>
      </w:pPr>
      <w:r w:rsidRPr="00B21286">
        <w:rPr>
          <w:rFonts w:ascii="Calibri" w:hAnsi="Calibri" w:cs="Calibri"/>
        </w:rPr>
        <w:t xml:space="preserve">Lumley, T. (2004). Analysis of Complex Survey Samples. </w:t>
      </w:r>
      <w:r w:rsidRPr="00B21286">
        <w:rPr>
          <w:rFonts w:ascii="Calibri" w:hAnsi="Calibri" w:cs="Calibri"/>
          <w:i/>
          <w:iCs/>
        </w:rPr>
        <w:t>Journal of Statistical Software</w:t>
      </w:r>
      <w:r w:rsidRPr="00B21286">
        <w:rPr>
          <w:rFonts w:ascii="Calibri" w:hAnsi="Calibri" w:cs="Calibri"/>
        </w:rPr>
        <w:t xml:space="preserve">, </w:t>
      </w:r>
      <w:r w:rsidRPr="00B21286">
        <w:rPr>
          <w:rFonts w:ascii="Calibri" w:hAnsi="Calibri" w:cs="Calibri"/>
          <w:i/>
          <w:iCs/>
        </w:rPr>
        <w:t>9</w:t>
      </w:r>
      <w:r w:rsidRPr="00B21286">
        <w:rPr>
          <w:rFonts w:ascii="Calibri" w:hAnsi="Calibri" w:cs="Calibri"/>
        </w:rPr>
        <w:t>(8). https://doi.org/10.18637/jss.v009.i08</w:t>
      </w:r>
    </w:p>
    <w:p w:rsidR="00B21286" w:rsidRPr="00B21286" w:rsidRDefault="00B21286" w:rsidP="005A3FC5">
      <w:pPr>
        <w:pStyle w:val="Bibliography"/>
        <w:spacing w:line="23" w:lineRule="atLeast"/>
        <w:rPr>
          <w:rFonts w:ascii="Calibri" w:hAnsi="Calibri" w:cs="Calibri"/>
        </w:rPr>
      </w:pPr>
      <w:proofErr w:type="spellStart"/>
      <w:r w:rsidRPr="00B21286">
        <w:rPr>
          <w:rFonts w:ascii="Calibri" w:hAnsi="Calibri" w:cs="Calibri"/>
        </w:rPr>
        <w:t>Stanfill</w:t>
      </w:r>
      <w:proofErr w:type="spellEnd"/>
      <w:r w:rsidRPr="00B21286">
        <w:rPr>
          <w:rFonts w:ascii="Calibri" w:hAnsi="Calibri" w:cs="Calibri"/>
        </w:rPr>
        <w:t xml:space="preserve">, B., </w:t>
      </w:r>
      <w:proofErr w:type="spellStart"/>
      <w:r w:rsidRPr="00B21286">
        <w:rPr>
          <w:rFonts w:ascii="Calibri" w:hAnsi="Calibri" w:cs="Calibri"/>
        </w:rPr>
        <w:t>Reehl</w:t>
      </w:r>
      <w:proofErr w:type="spellEnd"/>
      <w:r w:rsidRPr="00B21286">
        <w:rPr>
          <w:rFonts w:ascii="Calibri" w:hAnsi="Calibri" w:cs="Calibri"/>
        </w:rPr>
        <w:t xml:space="preserve">, S., </w:t>
      </w:r>
      <w:proofErr w:type="spellStart"/>
      <w:r w:rsidRPr="00B21286">
        <w:rPr>
          <w:rFonts w:ascii="Calibri" w:hAnsi="Calibri" w:cs="Calibri"/>
        </w:rPr>
        <w:t>Bramer</w:t>
      </w:r>
      <w:proofErr w:type="spellEnd"/>
      <w:r w:rsidRPr="00B21286">
        <w:rPr>
          <w:rFonts w:ascii="Calibri" w:hAnsi="Calibri" w:cs="Calibri"/>
        </w:rPr>
        <w:t xml:space="preserve">, L., </w:t>
      </w:r>
      <w:proofErr w:type="spellStart"/>
      <w:r w:rsidRPr="00B21286">
        <w:rPr>
          <w:rFonts w:ascii="Calibri" w:hAnsi="Calibri" w:cs="Calibri"/>
        </w:rPr>
        <w:t>Nakayasu</w:t>
      </w:r>
      <w:proofErr w:type="spellEnd"/>
      <w:r w:rsidRPr="00B21286">
        <w:rPr>
          <w:rFonts w:ascii="Calibri" w:hAnsi="Calibri" w:cs="Calibri"/>
        </w:rPr>
        <w:t xml:space="preserve">, E. S., Rich, S. S., Metz, T. O., </w:t>
      </w:r>
      <w:proofErr w:type="spellStart"/>
      <w:r w:rsidRPr="00B21286">
        <w:rPr>
          <w:rFonts w:ascii="Calibri" w:hAnsi="Calibri" w:cs="Calibri"/>
        </w:rPr>
        <w:t>Rewers</w:t>
      </w:r>
      <w:proofErr w:type="spellEnd"/>
      <w:r w:rsidRPr="00B21286">
        <w:rPr>
          <w:rFonts w:ascii="Calibri" w:hAnsi="Calibri" w:cs="Calibri"/>
        </w:rPr>
        <w:t xml:space="preserve">, M., Webb-Robertson, B.-J., &amp; TEDDY Study Group. (2019). Extending Classification Algorithms to Case-Control Studies. </w:t>
      </w:r>
      <w:r w:rsidRPr="00B21286">
        <w:rPr>
          <w:rFonts w:ascii="Calibri" w:hAnsi="Calibri" w:cs="Calibri"/>
          <w:i/>
          <w:iCs/>
        </w:rPr>
        <w:t>Biomedical Engineering and Computational Biology</w:t>
      </w:r>
      <w:r w:rsidRPr="00B21286">
        <w:rPr>
          <w:rFonts w:ascii="Calibri" w:hAnsi="Calibri" w:cs="Calibri"/>
        </w:rPr>
        <w:t xml:space="preserve">, </w:t>
      </w:r>
      <w:r w:rsidRPr="00B21286">
        <w:rPr>
          <w:rFonts w:ascii="Calibri" w:hAnsi="Calibri" w:cs="Calibri"/>
          <w:i/>
          <w:iCs/>
        </w:rPr>
        <w:t>10</w:t>
      </w:r>
      <w:r w:rsidRPr="00B21286">
        <w:rPr>
          <w:rFonts w:ascii="Calibri" w:hAnsi="Calibri" w:cs="Calibri"/>
        </w:rPr>
        <w:t>, 117959721985895. https://doi.org/10.1177/1179597219858954</w:t>
      </w:r>
    </w:p>
    <w:p w:rsidR="00320907" w:rsidRDefault="00B21286" w:rsidP="005A3FC5">
      <w:pPr>
        <w:spacing w:after="0" w:line="23" w:lineRule="atLeast"/>
      </w:pPr>
      <w:r>
        <w:lastRenderedPageBreak/>
        <w:fldChar w:fldCharType="end"/>
      </w:r>
    </w:p>
    <w:sectPr w:rsidR="00320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02BF"/>
    <w:multiLevelType w:val="hybridMultilevel"/>
    <w:tmpl w:val="07E43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06966"/>
    <w:multiLevelType w:val="hybridMultilevel"/>
    <w:tmpl w:val="C546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F6575"/>
    <w:multiLevelType w:val="hybridMultilevel"/>
    <w:tmpl w:val="496063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61D696F"/>
    <w:multiLevelType w:val="hybridMultilevel"/>
    <w:tmpl w:val="AA645414"/>
    <w:lvl w:ilvl="0" w:tplc="0409000F">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DB8C44EC">
      <w:numFmt w:val="bullet"/>
      <w:lvlText w:val="-"/>
      <w:lvlJc w:val="left"/>
      <w:pPr>
        <w:ind w:left="1980" w:hanging="360"/>
      </w:pPr>
      <w:rPr>
        <w:rFonts w:ascii="Calibri" w:eastAsiaTheme="minorHAnsi"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BD82D69"/>
    <w:multiLevelType w:val="hybridMultilevel"/>
    <w:tmpl w:val="DB6C431A"/>
    <w:lvl w:ilvl="0" w:tplc="0409000F">
      <w:numFmt w:val="decimal"/>
      <w:lvlText w:val="%1."/>
      <w:lvlJc w:val="left"/>
      <w:pPr>
        <w:ind w:left="360" w:hanging="360"/>
      </w:pPr>
      <w:rPr>
        <w:rFonts w:hint="default"/>
      </w:r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FF"/>
    <w:rsid w:val="00150F9E"/>
    <w:rsid w:val="00314520"/>
    <w:rsid w:val="00320907"/>
    <w:rsid w:val="004B03D4"/>
    <w:rsid w:val="004F2C66"/>
    <w:rsid w:val="00514DFF"/>
    <w:rsid w:val="005422B0"/>
    <w:rsid w:val="0055714C"/>
    <w:rsid w:val="005A3FC5"/>
    <w:rsid w:val="005D3E5A"/>
    <w:rsid w:val="00603E07"/>
    <w:rsid w:val="00902159"/>
    <w:rsid w:val="00937391"/>
    <w:rsid w:val="00B21286"/>
    <w:rsid w:val="00C57A0D"/>
    <w:rsid w:val="00CA7B18"/>
    <w:rsid w:val="00CB550D"/>
    <w:rsid w:val="00D63FCB"/>
    <w:rsid w:val="00EB3314"/>
    <w:rsid w:val="00F72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65090-71B4-4033-B780-2A652D77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DFF"/>
    <w:pPr>
      <w:ind w:left="720"/>
      <w:contextualSpacing/>
    </w:pPr>
  </w:style>
  <w:style w:type="paragraph" w:styleId="Bibliography">
    <w:name w:val="Bibliography"/>
    <w:basedOn w:val="Normal"/>
    <w:next w:val="Normal"/>
    <w:uiPriority w:val="37"/>
    <w:unhideWhenUsed/>
    <w:rsid w:val="00B2128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2022-08-24T17:26:00Z</dcterms:created>
  <dcterms:modified xsi:type="dcterms:W3CDTF">2022-08-24T20:39:00Z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id="xm99zcXo"/&gt;&lt;style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