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Start w:id="24"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2"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1">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2"/>
    <w:bookmarkStart w:id="17"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3">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4">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5">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6">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7"/>
    <w:bookmarkStart w:id="19"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8">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9"/>
    <w:bookmarkStart w:id="20"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0"/>
    <w:bookmarkStart w:id="23"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1"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1"/>
    <w:bookmarkStart w:id="22"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p>
      <w:r>
        <w:pict>
          <v:rect style="width:0;height:1.5pt" o:hralign="center" o:hrstd="t" o:hr="t"/>
        </w:pict>
      </w:r>
    </w:p>
    <w:bookmarkEnd w:id="22"/>
    <w:bookmarkEnd w:id="23"/>
    <w:bookmarkEnd w:id="24"/>
    <w:bookmarkStart w:id="29" w:name="part-ii--for-developers"/>
    <w:p>
      <w:pPr>
        <w:pStyle w:val="Heading1"/>
      </w:pPr>
      <w:r>
        <w:t xml:space="preserve">Part II — For Developers</w:t>
      </w:r>
    </w:p>
    <w:bookmarkStart w:id="25"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5"/>
    <w:bookmarkStart w:id="26"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6"/>
    <w:bookmarkStart w:id="27"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7"/>
    <w:bookmarkStart w:id="28" w:name="success-criteria-definition-of-done"/>
    <w:p>
      <w:pPr>
        <w:pStyle w:val="Heading2"/>
      </w:pPr>
      <w:r>
        <w:t xml:space="preserve">Success criteria (definition of done)</w:t>
      </w:r>
    </w:p>
    <w:p>
      <w:pPr>
        <w:pStyle w:val="Compact"/>
        <w:numPr>
          <w:ilvl w:val="0"/>
          <w:numId w:val="1015"/>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5"/>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5"/>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5"/>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5"/>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5"/>
        </w:numPr>
      </w:pPr>
      <w:r>
        <w:rPr>
          <w:b/>
          <w:bCs/>
        </w:rPr>
        <w:t xml:space="preserve">SEO:</w:t>
      </w:r>
      <w:r>
        <w:t xml:space="preserve"> </w:t>
      </w:r>
      <w:r>
        <w:t xml:space="preserve">sitemap, canonicals, JSON-LD, OG metadata validated; Plausible continuity demonstrated across cutover.</w:t>
      </w:r>
    </w:p>
    <w:p>
      <w:pPr>
        <w:pStyle w:val="Compact"/>
        <w:numPr>
          <w:ilvl w:val="0"/>
          <w:numId w:val="1015"/>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5"/>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8"/>
    <w:bookmarkEnd w:id="29"/>
    <w:bookmarkStart w:id="35"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0"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0"/>
    <w:bookmarkStart w:id="31"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1"/>
    <w:bookmarkStart w:id="32"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2"/>
    <w:bookmarkStart w:id="33"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3"/>
    <w:bookmarkStart w:id="34" w:name="a5-minor-defects-curated-30"/>
    <w:p>
      <w:pPr>
        <w:pStyle w:val="Heading2"/>
      </w:pPr>
      <w:r>
        <w:t xml:space="preserve">A.5 Minor defects (curated, 30)</w:t>
      </w:r>
    </w:p>
    <w:p>
      <w:pPr>
        <w:pStyle w:val="Compact"/>
        <w:numPr>
          <w:ilvl w:val="0"/>
          <w:numId w:val="1016"/>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6"/>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6"/>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6"/>
        </w:numPr>
      </w:pPr>
      <w:r>
        <w:t xml:space="preserve">UTC date formatting shifts evening timestamps a day backward (US-Central).</w:t>
      </w:r>
    </w:p>
    <w:p>
      <w:pPr>
        <w:pStyle w:val="Compact"/>
        <w:numPr>
          <w:ilvl w:val="0"/>
          <w:numId w:val="1016"/>
        </w:numPr>
      </w:pPr>
      <w:r>
        <w:t xml:space="preserve">Preview layout permanently overwrites the visitor’s color-mode preference.</w:t>
      </w:r>
    </w:p>
    <w:p>
      <w:pPr>
        <w:pStyle w:val="Compact"/>
        <w:numPr>
          <w:ilvl w:val="0"/>
          <w:numId w:val="1016"/>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6"/>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6"/>
        </w:numPr>
      </w:pPr>
      <w:r>
        <w:t xml:space="preserve">Tailwind class strings and icon names stored in CMS fields (purge/safelist trap).</w:t>
      </w:r>
    </w:p>
    <w:p>
      <w:pPr>
        <w:pStyle w:val="Compact"/>
        <w:numPr>
          <w:ilvl w:val="0"/>
          <w:numId w:val="1016"/>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6"/>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6"/>
        </w:numPr>
      </w:pPr>
      <w:r>
        <w:t xml:space="preserve">Image-URL prefixing logic triplicated.</w:t>
      </w:r>
    </w:p>
    <w:p>
      <w:pPr>
        <w:pStyle w:val="Compact"/>
        <w:numPr>
          <w:ilvl w:val="0"/>
          <w:numId w:val="1016"/>
        </w:numPr>
      </w:pPr>
      <w:r>
        <w:t xml:space="preserve">“No Image”</w:t>
      </w:r>
      <w:r>
        <w:t xml:space="preserve"> </w:t>
      </w:r>
      <w:r>
        <w:t xml:space="preserve">placeholder at ~1.9:1 contrast; inline styles mixed with utilities.</w:t>
      </w:r>
    </w:p>
    <w:p>
      <w:pPr>
        <w:pStyle w:val="Compact"/>
        <w:numPr>
          <w:ilvl w:val="0"/>
          <w:numId w:val="1016"/>
        </w:numPr>
      </w:pPr>
      <w:r>
        <w:t xml:space="preserve">Off-palette hovers; carousel arrows misbehave at bounds; fixed 420px card basis breaks small viewports.</w:t>
      </w:r>
    </w:p>
    <w:p>
      <w:pPr>
        <w:pStyle w:val="Compact"/>
        <w:numPr>
          <w:ilvl w:val="0"/>
          <w:numId w:val="1016"/>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6"/>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6"/>
        </w:numPr>
      </w:pPr>
      <w:r>
        <w:t xml:space="preserve">CSS-hack placeholder text invisible to assistive tech.</w:t>
      </w:r>
    </w:p>
    <w:p>
      <w:pPr>
        <w:pStyle w:val="Compact"/>
        <w:numPr>
          <w:ilvl w:val="0"/>
          <w:numId w:val="1016"/>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6"/>
        </w:numPr>
      </w:pPr>
      <w:r>
        <w:rPr>
          <w:rStyle w:val="VerbatimChar"/>
        </w:rPr>
        <w:t xml:space="preserve">formatDate</w:t>
      </w:r>
      <w:r>
        <w:t xml:space="preserve"> </w:t>
      </w:r>
      <w:r>
        <w:t xml:space="preserve">reimplemented in three places despite a util existing.</w:t>
      </w:r>
    </w:p>
    <w:p>
      <w:pPr>
        <w:pStyle w:val="Compact"/>
        <w:numPr>
          <w:ilvl w:val="0"/>
          <w:numId w:val="1016"/>
        </w:numPr>
      </w:pPr>
      <w:r>
        <w:t xml:space="preserve">Hardcoded CMS media URLs (hero images, og:image) in templates — a re-upload breaks the homepage.</w:t>
      </w:r>
    </w:p>
    <w:p>
      <w:pPr>
        <w:pStyle w:val="Compact"/>
        <w:numPr>
          <w:ilvl w:val="0"/>
          <w:numId w:val="1016"/>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6"/>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6"/>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6"/>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6"/>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6"/>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6"/>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6"/>
        </w:numPr>
      </w:pPr>
      <w:r>
        <w:rPr>
          <w:rStyle w:val="VerbatimChar"/>
        </w:rPr>
        <w:t xml:space="preserve">slugify</w:t>
      </w:r>
      <w:r>
        <w:t xml:space="preserve"> </w:t>
      </w:r>
      <w:r>
        <w:t xml:space="preserve">heading-ID collisions (duplicate headings).</w:t>
      </w:r>
    </w:p>
    <w:p>
      <w:pPr>
        <w:pStyle w:val="Compact"/>
        <w:numPr>
          <w:ilvl w:val="0"/>
          <w:numId w:val="1016"/>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6"/>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6"/>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4"/>
    <w:bookmarkEnd w:id="35"/>
    <w:bookmarkStart w:id="36"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6"/>
    <w:bookmarkStart w:id="37"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7"/>
    <w:bookmarkStart w:id="38" w:name="X8e127df9c12176fb20b75c96653728f7de60746"/>
    <w:p>
      <w:pPr>
        <w:pStyle w:val="Heading1"/>
      </w:pPr>
      <w:r>
        <w:t xml:space="preserve">Appendix D — Glossary (for non-technical readers)</w:t>
      </w:r>
    </w:p>
    <w:p>
      <w:pPr>
        <w:pStyle w:val="Compact"/>
        <w:numPr>
          <w:ilvl w:val="0"/>
          <w:numId w:val="1017"/>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7"/>
        </w:numPr>
      </w:pPr>
      <w:r>
        <w:rPr>
          <w:b/>
          <w:bCs/>
        </w:rPr>
        <w:t xml:space="preserve">Headless CMS:</w:t>
      </w:r>
      <w:r>
        <w:t xml:space="preserve"> </w:t>
      </w:r>
      <w:r>
        <w:t xml:space="preserve">a CMS that only stores content; a separate website (Copperhead) presents it.</w:t>
      </w:r>
    </w:p>
    <w:p>
      <w:pPr>
        <w:pStyle w:val="Compact"/>
        <w:numPr>
          <w:ilvl w:val="0"/>
          <w:numId w:val="1017"/>
        </w:numPr>
      </w:pPr>
      <w:r>
        <w:rPr>
          <w:b/>
          <w:bCs/>
        </w:rPr>
        <w:t xml:space="preserve">API:</w:t>
      </w:r>
      <w:r>
        <w:t xml:space="preserve"> </w:t>
      </w:r>
      <w:r>
        <w:t xml:space="preserve">the channel a website uses to ask the CMS for content.</w:t>
      </w:r>
    </w:p>
    <w:p>
      <w:pPr>
        <w:pStyle w:val="Compact"/>
        <w:numPr>
          <w:ilvl w:val="0"/>
          <w:numId w:val="1017"/>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7"/>
        </w:numPr>
      </w:pPr>
      <w:r>
        <w:rPr>
          <w:b/>
          <w:bCs/>
        </w:rPr>
        <w:t xml:space="preserve">CDN:</w:t>
      </w:r>
      <w:r>
        <w:t xml:space="preserve"> </w:t>
      </w:r>
      <w:r>
        <w:t xml:space="preserve">the network of servers that delivers those static files fast, everywhere.</w:t>
      </w:r>
    </w:p>
    <w:p>
      <w:pPr>
        <w:pStyle w:val="Compact"/>
        <w:numPr>
          <w:ilvl w:val="0"/>
          <w:numId w:val="1017"/>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7"/>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7"/>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7"/>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7"/>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7"/>
        </w:numPr>
      </w:pPr>
      <w:r>
        <w:rPr>
          <w:b/>
          <w:bCs/>
        </w:rPr>
        <w:t xml:space="preserve">Plausible:</w:t>
      </w:r>
      <w:r>
        <w:t xml:space="preserve"> </w:t>
      </w:r>
      <w:r>
        <w:t xml:space="preserve">the privacy-friendly analytics service that counts our traffic.</w:t>
      </w:r>
    </w:p>
    <w:p>
      <w:pPr>
        <w:pStyle w:val="Compact"/>
        <w:numPr>
          <w:ilvl w:val="0"/>
          <w:numId w:val="1017"/>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7"/>
        </w:numPr>
      </w:pPr>
      <w:r>
        <w:rPr>
          <w:b/>
          <w:bCs/>
        </w:rPr>
        <w:t xml:space="preserve">Codename:</w:t>
      </w:r>
      <w:r>
        <w:t xml:space="preserve"> </w:t>
      </w:r>
      <w:r>
        <w:t xml:space="preserve">an internal project label (see Section 2); retired at launch.</w:t>
      </w:r>
    </w:p>
    <w:p>
      <w:pPr>
        <w:pStyle w:val="Compact"/>
        <w:numPr>
          <w:ilvl w:val="0"/>
          <w:numId w:val="1017"/>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7"/>
        </w:numPr>
      </w:pPr>
      <w:r>
        <w:rPr>
          <w:b/>
          <w:bCs/>
        </w:rPr>
        <w:t xml:space="preserve">ADR (Architecture Decision Record):</w:t>
      </w:r>
      <w:r>
        <w:t xml:space="preserve"> </w:t>
      </w:r>
      <w:r>
        <w:t xml:space="preserve">a one-page written record of a significant technical decision and why it was made.</w:t>
      </w:r>
    </w:p>
    <w:bookmarkEnd w:id="38"/>
    <w:bookmarkStart w:id="48"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1">
              <w:r>
                <w:rPr>
                  <w:rStyle w:val="VerbatimChar"/>
                </w:rPr>
                <w:t xml:space="preserve">https://icjia.illinois.gov/researchhub/</w:t>
              </w:r>
            </w:hyperlink>
          </w:p>
        </w:tc>
      </w:tr>
      <w:tr>
        <w:tc>
          <w:tcPr/>
          <w:p>
            <w:pPr>
              <w:pStyle w:val="Compact"/>
            </w:pPr>
            <w:r>
              <w:t xml:space="preserve">ICJIA main website</w:t>
            </w:r>
          </w:p>
        </w:tc>
        <w:tc>
          <w:tcPr/>
          <w:p>
            <w:pPr>
              <w:pStyle w:val="Compact"/>
            </w:pPr>
            <w:hyperlink r:id="rId39">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0">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1">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2">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3">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8">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4">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3">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5">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6">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4">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5">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6">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7">
              <w:r>
                <w:rPr>
                  <w:rStyle w:val="VerbatimChar"/>
                </w:rPr>
                <w:t xml:space="preserve">https://doit.illinois.gov</w:t>
              </w:r>
            </w:hyperlink>
            <w:r>
              <w:t xml:space="preserve"> </w:t>
            </w:r>
            <w:r>
              <w:t xml:space="preserve">(Accessibility section)</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doit.illinois.gov" TargetMode="External" /><Relationship Type="http://schemas.openxmlformats.org/officeDocument/2006/relationships/hyperlink" Id="rId43"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4"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39"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1" Target="https://researchhub.icjia-api.cloud" TargetMode="External" /><Relationship Type="http://schemas.openxmlformats.org/officeDocument/2006/relationships/hyperlink" Id="rId40" Target="https://v2-hub-demo.netlify.app/" TargetMode="External" /><Relationship Type="http://schemas.openxmlformats.org/officeDocument/2006/relationships/hyperlink" Id="rId42" Target="https://v2.hub.icjia-api.cloud" TargetMode="External" /><Relationship Type="http://schemas.openxmlformats.org/officeDocument/2006/relationships/hyperlink" Id="rId46" Target="https://www.ada.gov/resources/2024-03-08-web-rule/" TargetMode="External" /><Relationship Type="http://schemas.openxmlformats.org/officeDocument/2006/relationships/hyperlink" Id="rId45"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7" Target="https://doit.illinois.gov" TargetMode="External" /><Relationship Type="http://schemas.openxmlformats.org/officeDocument/2006/relationships/hyperlink" Id="rId43"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4"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39"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1" Target="https://researchhub.icjia-api.cloud" TargetMode="External" /><Relationship Type="http://schemas.openxmlformats.org/officeDocument/2006/relationships/hyperlink" Id="rId40" Target="https://v2-hub-demo.netlify.app/" TargetMode="External" /><Relationship Type="http://schemas.openxmlformats.org/officeDocument/2006/relationships/hyperlink" Id="rId42" Target="https://v2.hub.icjia-api.cloud" TargetMode="External" /><Relationship Type="http://schemas.openxmlformats.org/officeDocument/2006/relationships/hyperlink" Id="rId46" Target="https://www.ada.gov/resources/2024-03-08-web-rule/" TargetMode="External" /><Relationship Type="http://schemas.openxmlformats.org/officeDocument/2006/relationships/hyperlink" Id="rId45"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2026-07-11T13:04:46Z</dcterms:created>
  <dcterms:modified xsi:type="dcterms:W3CDTF">2026-07-11T13:04:46Z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