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Draft v1.0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clickable links in Appendix E. Figma design mockups will be attached in a future revision; this document is the planning and engineering baseline.</w: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1"/>
          <w:numId w:val="1002"/>
        </w:numPr>
      </w:pPr>
      <w:hyperlink w:anchor="progress-update--july-11-2026">
        <w:r>
          <w:rPr>
            <w:rStyle w:val="Hyperlink"/>
          </w:rPr>
          <w:t xml:space="preserve">Progress update — July 11, 2026</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appendix-e--referenced-resources">
        <w:r>
          <w:rPr>
            <w:rStyle w:val="Hyperlink"/>
          </w:rPr>
          <w:t xml:space="preserve">Appendix E — Referenced resources</w:t>
        </w:r>
      </w:hyperlink>
    </w:p>
    <w:p>
      <w:r>
        <w:pict>
          <v:rect style="width:0;height:1.5pt" o:hralign="center" o:hrstd="t" o:hr="t"/>
        </w:pict>
      </w:r>
    </w:p>
    <w:bookmarkStart w:id="25" w:name="part-i--for-decision-makers"/>
    <w:p>
      <w:pPr>
        <w:pStyle w:val="Heading1"/>
      </w:pPr>
      <w:r>
        <w:t xml:space="preserve">Part I — For Decision-Makers</w:t>
      </w:r>
    </w:p>
    <w:bookmarkStart w:id="9"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9"/>
    <w:bookmarkStart w:id="10"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0"/>
    <w:bookmarkStart w:id="12"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hyperlink r:id="rId11">
        <w:r>
          <w:rPr>
            <w:rStyle w:val="VerbatimChar"/>
          </w:rPr>
          <w:t xml:space="preserve">icjia.illinois.gov/researchhub/</w:t>
        </w:r>
      </w:hyperlink>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2"/>
    <w:bookmarkStart w:id="17"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hyperlink r:id="rId13">
              <w:r>
                <w:rPr>
                  <w:rStyle w:val="VerbatimChar"/>
                </w:rPr>
                <w:t xml:space="preserve">hub-migration-tools</w:t>
              </w:r>
            </w:hyperlink>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hyperlink r:id="rId14">
              <w:r>
                <w:rPr>
                  <w:rStyle w:val="VerbatimChar"/>
                </w:rPr>
                <w:t xml:space="preserve">hub-studio-2026</w:t>
              </w:r>
            </w:hyperlink>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hyperlink r:id="rId15">
              <w:r>
                <w:rPr>
                  <w:rStyle w:val="VerbatimChar"/>
                </w:rPr>
                <w:t xml:space="preserve">v2-hub-demo</w:t>
              </w:r>
            </w:hyperlink>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hyperlink r:id="rId16">
        <w:r>
          <w:rPr>
            <w:rStyle w:val="VerbatimChar"/>
            <w:b/>
            <w:bCs/>
          </w:rPr>
          <w:t xml:space="preserve">@icjia/pdf-search-index</w:t>
        </w:r>
      </w:hyperlink>
      <w:r>
        <w:t xml:space="preserve">, an in-house package that extracts searchable text from PDF/Word/Excel documents at build time, with a first-party Nuxt 4 integration — replaces the most fragile subsystem of the unfinished rewrite (see Section 5).</w:t>
      </w:r>
    </w:p>
    <w:bookmarkEnd w:id="17"/>
    <w:bookmarkStart w:id="19"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hyperlink r:id="rId18">
        <w:r>
          <w:rPr>
            <w:rStyle w:val="VerbatimChar"/>
          </w:rPr>
          <w:t xml:space="preserve">ICJIA/hub-frontend</w:t>
        </w:r>
      </w:hyperlink>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19"/>
    <w:bookmarkStart w:id="20"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20"/>
    <w:bookmarkStart w:id="23"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bookmarkStart w:id="21" w:name="so-what-exactly-has-to-be-done"/>
    <w:p>
      <w:pPr>
        <w:pStyle w:val="Heading3"/>
      </w:pPr>
      <w:r>
        <w:t xml:space="preserve">So, what exactly has to be done?</w:t>
      </w:r>
    </w:p>
    <w:p>
      <w:pPr>
        <w:pStyle w:val="FirstParagraph"/>
      </w:pPr>
      <w:r>
        <w:t xml:space="preserve">The same roadmap in plain English — the answer to</w:t>
      </w:r>
      <w:r>
        <w:t xml:space="preserve"> </w:t>
      </w:r>
      <w:r>
        <w:t xml:space="preserve">“what will you actually be doing for those weeks?”</w:t>
      </w:r>
      <w:r>
        <w:t xml:space="preserve">:</w:t>
      </w:r>
    </w:p>
    <w:p>
      <w:pPr>
        <w:pStyle w:val="Compact"/>
        <w:numPr>
          <w:ilvl w:val="0"/>
          <w:numId w:val="1013"/>
        </w:numPr>
      </w:pPr>
      <w:r>
        <w:rPr>
          <w:b/>
          <w:bCs/>
        </w:rPr>
        <w:t xml:space="preserve">Set up the foundations (Phase 0, about a week).</w:t>
      </w:r>
      <w:r>
        <w:t xml:space="preserve"> </w:t>
      </w:r>
      <w:r>
        <w:t xml:space="preserve">Create the new application shell and its hosting, and wire in the automated quality checks — code standards, tests, accessibility — so that from the first week, nothing can be added to Copperhead that fails them. A private preview web address exists from day one; every phase after this ends with something you can click and review there.</w:t>
      </w:r>
    </w:p>
    <w:p>
      <w:pPr>
        <w:pStyle w:val="Compact"/>
        <w:numPr>
          <w:ilvl w:val="0"/>
          <w:numId w:val="1013"/>
        </w:numPr>
      </w:pPr>
      <w:r>
        <w:rPr>
          <w:b/>
          <w:bCs/>
        </w:rPr>
        <w:t xml:space="preserve">Teach it to read our content (Phase 1, 1–1.5 weeks).</w:t>
      </w:r>
      <w:r>
        <w:t xml:space="preserve"> </w:t>
      </w:r>
      <w:r>
        <w:t xml:space="preserve">Connect Copperhead to the new Strapi 5 content database and build, with tests, the machinery that turns stored articles into web-ready pages. Everything else sits on this layer, so it is built carefully and first.</w:t>
      </w:r>
    </w:p>
    <w:p>
      <w:pPr>
        <w:pStyle w:val="Compact"/>
        <w:numPr>
          <w:ilvl w:val="0"/>
          <w:numId w:val="1013"/>
        </w:numPr>
      </w:pPr>
      <w:r>
        <w:rPr>
          <w:b/>
          <w:bCs/>
        </w:rPr>
        <w:t xml:space="preserve">Rebuild every page type (Phase 2, 2–3 weeks — the largest block).</w:t>
      </w:r>
      <w:r>
        <w:t xml:space="preserve"> </w:t>
      </w:r>
      <w:r>
        <w:t xml:space="preserve">Hub home, the article page with all of its anatomy (table of contents, downloads, citations, author biographies, funding notes, related content), dataset and dashboard pages, listings, and the small standalone pages. This is where the Figma designs get applied.</w:t>
      </w:r>
    </w:p>
    <w:p>
      <w:pPr>
        <w:pStyle w:val="Compact"/>
        <w:numPr>
          <w:ilvl w:val="0"/>
          <w:numId w:val="1013"/>
        </w:numPr>
      </w:pPr>
      <w:r>
        <w:rPr>
          <w:b/>
          <w:bCs/>
        </w:rPr>
        <w:t xml:space="preserve">Add search and filtering (Phase 3, 1–2 weeks).</w:t>
      </w:r>
      <w:r>
        <w:t xml:space="preserve"> </w:t>
      </w:r>
      <w:r>
        <w:t xml:space="preserve">The filtering experience stakeholders already reviewed in the live demo — one-click research reports, highlighted matches, author names — plus search that finds words</w:t>
      </w:r>
      <w:r>
        <w:t xml:space="preserve"> </w:t>
      </w:r>
      <w:r>
        <w:rPr>
          <w:i/>
          <w:iCs/>
        </w:rPr>
        <w:t xml:space="preserve">inside</w:t>
      </w:r>
      <w:r>
        <w:t xml:space="preserve"> </w:t>
      </w:r>
      <w:r>
        <w:t xml:space="preserve">published PDFs and spreadsheets.</w:t>
      </w:r>
    </w:p>
    <w:p>
      <w:pPr>
        <w:pStyle w:val="Compact"/>
        <w:numPr>
          <w:ilvl w:val="0"/>
          <w:numId w:val="1013"/>
        </w:numPr>
      </w:pPr>
      <w:r>
        <w:rPr>
          <w:b/>
          <w:bCs/>
        </w:rPr>
        <w:t xml:space="preserve">Prove nothing breaks (Phase 4, about a week).</w:t>
      </w:r>
      <w:r>
        <w:t xml:space="preserve"> </w:t>
      </w:r>
      <w:r>
        <w:t xml:space="preserve">Generate everything search engines need (sitemap, scholarly metadata), set up analytics, and run the automated check that</w:t>
      </w:r>
      <w:r>
        <w:t xml:space="preserve"> </w:t>
      </w:r>
      <w:r>
        <w:rPr>
          <w:b/>
          <w:bCs/>
        </w:rPr>
        <w:t xml:space="preserve">every one of the 266 existing Hub addresses</w:t>
      </w:r>
      <w:r>
        <w:t xml:space="preserve"> </w:t>
      </w:r>
      <w:r>
        <w:t xml:space="preserve">works on the new site. This check is the launch gate.</w:t>
      </w:r>
    </w:p>
    <w:p>
      <w:pPr>
        <w:pStyle w:val="Compact"/>
        <w:numPr>
          <w:ilvl w:val="0"/>
          <w:numId w:val="1013"/>
        </w:numPr>
      </w:pPr>
      <w:r>
        <w:rPr>
          <w:b/>
          <w:bCs/>
        </w:rPr>
        <w:t xml:space="preserve">Harden, then launch (Phases 5–6, about two weeks).</w:t>
      </w:r>
      <w:r>
        <w:t xml:space="preserve"> </w:t>
      </w:r>
      <w:r>
        <w:t xml:space="preserve">Full accessibility and performance audits, documentation, credential rotation, a short content freeze with a final content sync — then the cutover: the main website starts passing</w:t>
      </w:r>
      <w:r>
        <w:t xml:space="preserve"> </w:t>
      </w:r>
      <w:r>
        <w:rPr>
          <w:rStyle w:val="VerbatimChar"/>
        </w:rPr>
        <w:t xml:space="preserve">/researchhub/</w:t>
      </w:r>
      <w:r>
        <w:t xml:space="preserve"> </w:t>
      </w:r>
      <w:r>
        <w:t xml:space="preserve">traffic to Copperhead. Rollback is a one-line change, so launch risk stays small. Afterward, the old Hub code is removed from the main website.</w:t>
      </w:r>
    </w:p>
    <w:bookmarkEnd w:id="21"/>
    <w:bookmarkStart w:id="22" w:name="what-we-need-from-leadership"/>
    <w:p>
      <w:pPr>
        <w:pStyle w:val="Heading3"/>
      </w:pPr>
      <w:r>
        <w:t xml:space="preserve">What we need from leadership</w:t>
      </w:r>
    </w:p>
    <w:p>
      <w:pPr>
        <w:pStyle w:val="FirstParagraph"/>
      </w:pPr>
      <w:r>
        <w:t xml:space="preserve">Managers will reasonably ask</w:t>
      </w:r>
      <w:r>
        <w:t xml:space="preserve"> </w:t>
      </w:r>
      <w:r>
        <w:t xml:space="preserve">“what do you need from</w:t>
      </w:r>
      <w:r>
        <w:t xml:space="preserve"> </w:t>
      </w:r>
      <w:r>
        <w:rPr>
          <w:i/>
          <w:iCs/>
        </w:rPr>
        <w:t xml:space="preserve">us</w:t>
      </w:r>
      <w:r>
        <w:t xml:space="preserve">?”</w:t>
      </w:r>
      <w:r>
        <w:t xml:space="preserve"> </w:t>
      </w:r>
      <w:r>
        <w:t xml:space="preserve">Five things:</w:t>
      </w:r>
    </w:p>
    <w:p>
      <w:pPr>
        <w:pStyle w:val="Compact"/>
        <w:numPr>
          <w:ilvl w:val="0"/>
          <w:numId w:val="1014"/>
        </w:numPr>
      </w:pPr>
      <w:r>
        <w:rPr>
          <w:b/>
          <w:bCs/>
        </w:rPr>
        <w:t xml:space="preserve">A scope confirmation before Phase 2:</w:t>
      </w:r>
      <w:r>
        <w:t xml:space="preserve"> </w:t>
      </w:r>
      <w:r>
        <w:t xml:space="preserve">launch with the new Centers and Projects pages included (adds roughly one week), or add them shortly after launch. Either is fine; it just needs deciding once.</w:t>
      </w:r>
    </w:p>
    <w:p>
      <w:pPr>
        <w:pStyle w:val="Compact"/>
        <w:numPr>
          <w:ilvl w:val="0"/>
          <w:numId w:val="1014"/>
        </w:numPr>
      </w:pPr>
      <w:r>
        <w:rPr>
          <w:b/>
          <w:bCs/>
        </w:rPr>
        <w:t xml:space="preserve">Design review availability during Phase 2</w:t>
      </w:r>
      <w:r>
        <w:t xml:space="preserve"> </w:t>
      </w:r>
      <w:r>
        <w:t xml:space="preserve">— short, prompt Figma sign-offs so page-building doesn’t stall waiting on approvals.</w:t>
      </w:r>
    </w:p>
    <w:p>
      <w:pPr>
        <w:pStyle w:val="Compact"/>
        <w:numPr>
          <w:ilvl w:val="0"/>
          <w:numId w:val="1014"/>
        </w:numPr>
      </w:pPr>
      <w:r>
        <w:rPr>
          <w:b/>
          <w:bCs/>
        </w:rPr>
        <w:t xml:space="preserve">A content-freeze window near launch</w:t>
      </w:r>
      <w:r>
        <w:t xml:space="preserve"> </w:t>
      </w:r>
      <w:r>
        <w:t xml:space="preserve">— roughly 2–3 business days when R&amp;A holds new publications while the final sync and cutover happen (rehearsed in Phase 5, used in Phase 6).</w:t>
      </w:r>
    </w:p>
    <w:p>
      <w:pPr>
        <w:pStyle w:val="Compact"/>
        <w:numPr>
          <w:ilvl w:val="0"/>
          <w:numId w:val="1014"/>
        </w:numPr>
      </w:pPr>
      <w:r>
        <w:rPr>
          <w:b/>
          <w:bCs/>
        </w:rPr>
        <w:t xml:space="preserve">Coordination with the main-website deployment</w:t>
      </w:r>
      <w:r>
        <w:t xml:space="preserve"> </w:t>
      </w:r>
      <w:r>
        <w:t xml:space="preserve">for the one-time switch that routes</w:t>
      </w:r>
      <w:r>
        <w:t xml:space="preserve"> </w:t>
      </w:r>
      <w:r>
        <w:rPr>
          <w:rStyle w:val="VerbatimChar"/>
        </w:rPr>
        <w:t xml:space="preserve">/researchhub/</w:t>
      </w:r>
      <w:r>
        <w:t xml:space="preserve"> </w:t>
      </w:r>
      <w:r>
        <w:t xml:space="preserve">traffic to Copperhead (and a fallback owner identified, though rollback is trivial).</w:t>
      </w:r>
    </w:p>
    <w:p>
      <w:pPr>
        <w:pStyle w:val="Compact"/>
        <w:numPr>
          <w:ilvl w:val="0"/>
          <w:numId w:val="1014"/>
        </w:numPr>
      </w:pPr>
      <w:r>
        <w:rPr>
          <w:b/>
          <w:bCs/>
        </w:rPr>
        <w:t xml:space="preserve">Agreement that the Success Criteria at the end of Part II are the launch gate</w:t>
      </w:r>
      <w:r>
        <w:t xml:space="preserve"> </w:t>
      </w:r>
      <w:r>
        <w:t xml:space="preserve">— Copperhead ships when every box is checked, and isn’t held past that for additions that can come later.</w:t>
      </w:r>
    </w:p>
    <w:p>
      <w:pPr>
        <w:pStyle w:val="FirstParagraph"/>
      </w:pPr>
      <w:r>
        <w:t xml:space="preserve">Beyond those: one developer’s focused time for the 8–11 weeks, and nothing else — no new infrastructure purchases, no additional licenses (the hosting and analytics accounts already exist).</w:t>
      </w:r>
    </w:p>
    <w:bookmarkEnd w:id="22"/>
    <w:bookmarkEnd w:id="23"/>
    <w:bookmarkStart w:id="24" w:name="progress-update--july-11-2026"/>
    <w:p>
      <w:pPr>
        <w:pStyle w:val="Heading2"/>
      </w:pPr>
      <w:r>
        <w:t xml:space="preserve">Progress update — July 11, 2026</w:t>
      </w:r>
    </w:p>
    <w:p>
      <w:pPr>
        <w:pStyle w:val="FirstParagraph"/>
      </w:pPr>
      <w:r>
        <w:t xml:space="preserve">Written the day this plan was approved — and the same day the first four phases were substantially built. Current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Status</w:t>
            </w:r>
          </w:p>
        </w:tc>
      </w:tr>
      <w:tr>
        <w:tc>
          <w:tcPr/>
          <w:p>
            <w:pPr>
              <w:pStyle w:val="Compact"/>
            </w:pPr>
            <w:r>
              <w:t xml:space="preserve">0 — Foundations</w:t>
            </w:r>
          </w:p>
        </w:tc>
        <w:tc>
          <w:tcPr/>
          <w:p>
            <w:pPr>
              <w:pStyle w:val="Compact"/>
            </w:pPr>
            <w:r>
              <w:rPr>
                <w:b/>
                <w:bCs/>
              </w:rPr>
              <w:t xml:space="preserve">Complete.</w:t>
            </w:r>
            <w:r>
              <w:t xml:space="preserve"> </w:t>
            </w:r>
            <w:r>
              <w:t xml:space="preserve">Nuxt 4.4.8 + Nuxt UI 4.9 scaffold; all six quality gates enforced in CI (lint, types, unit tests, WCAG 2.1 AA accessibility in light</w:t>
            </w:r>
            <w:r>
              <w:t xml:space="preserve"> </w:t>
            </w:r>
            <w:r>
              <w:rPr>
                <w:i/>
                <w:iCs/>
              </w:rPr>
              <w:t xml:space="preserve">and</w:t>
            </w:r>
            <w:r>
              <w:t xml:space="preserve"> </w:t>
            </w:r>
            <w:r>
              <w:t xml:space="preserve">dark mode, Lighthouse budgets); standalone Netlify site connected with continuous deployment</w:t>
            </w:r>
          </w:p>
        </w:tc>
      </w:tr>
      <w:tr>
        <w:tc>
          <w:tcPr/>
          <w:p>
            <w:pPr>
              <w:pStyle w:val="Compact"/>
            </w:pPr>
            <w:r>
              <w:t xml:space="preserve">1 — Content layer</w:t>
            </w:r>
          </w:p>
        </w:tc>
        <w:tc>
          <w:tcPr/>
          <w:p>
            <w:pPr>
              <w:pStyle w:val="Compact"/>
            </w:pPr>
            <w:r>
              <w:rPr>
                <w:b/>
                <w:bCs/>
              </w:rPr>
              <w:t xml:space="preserve">Complete.</w:t>
            </w:r>
            <w:r>
              <w:t xml:space="preserve"> </w:t>
            </w:r>
            <w:r>
              <w:t xml:space="preserve">Typed Strapi 5 service with a single normalization boundary; sanitized markdown pipeline; offline test fixtures; zero secrets required to build (reads are public; an optional read-only token is supported)</w:t>
            </w:r>
          </w:p>
        </w:tc>
      </w:tr>
      <w:tr>
        <w:tc>
          <w:tcPr/>
          <w:p>
            <w:pPr>
              <w:pStyle w:val="Compact"/>
            </w:pPr>
            <w:r>
              <w:t xml:space="preserve">2 — Parity pages</w:t>
            </w:r>
          </w:p>
        </w:tc>
        <w:tc>
          <w:tcPr/>
          <w:p>
            <w:pPr>
              <w:pStyle w:val="Compact"/>
            </w:pPr>
            <w:r>
              <w:rPr>
                <w:b/>
                <w:bCs/>
              </w:rPr>
              <w:t xml:space="preserve">Complete (code-side).</w:t>
            </w:r>
            <w:r>
              <w:t xml:space="preserve"> </w:t>
            </w:r>
            <w:r>
              <w:t xml:space="preserve">Every Hub 1.0 URL-contract route exists — articles (all ~236 prerendered as static pages with scholarly metadata), datasets, apps, centers, projects, publications, staff, and the generic CMS-page route. Design tokens and page chrome from the Figma file; article views componentized per design block for change resilience</w:t>
            </w:r>
          </w:p>
        </w:tc>
      </w:tr>
      <w:tr>
        <w:tc>
          <w:tcPr/>
          <w:p>
            <w:pPr>
              <w:pStyle w:val="Compact"/>
            </w:pPr>
            <w:r>
              <w:t xml:space="preserve">3 — Search &amp; filtering</w:t>
            </w:r>
          </w:p>
        </w:tc>
        <w:tc>
          <w:tcPr/>
          <w:p>
            <w:pPr>
              <w:pStyle w:val="Compact"/>
            </w:pPr>
            <w:r>
              <w:rPr>
                <w:b/>
                <w:bCs/>
              </w:rPr>
              <w:t xml:space="preserve">Complete (code-side).</w:t>
            </w:r>
            <w:r>
              <w:t xml:space="preserve"> </w:t>
            </w:r>
            <w:r>
              <w:t xml:space="preserve">The three stakeholder concerns are solved: one-click publication-type chips, author names on cards plus an author filter, and search-term highlighting — all shareable via URL. Site search finds words</w:t>
            </w:r>
            <w:r>
              <w:t xml:space="preserve"> </w:t>
            </w:r>
            <w:r>
              <w:rPr>
                <w:b/>
                <w:bCs/>
              </w:rPr>
              <w:t xml:space="preserve">inside published PDF and Office documents</w:t>
            </w:r>
            <w:r>
              <w:t xml:space="preserve"> </w:t>
            </w:r>
            <w:r>
              <w:t xml:space="preserve">(extracted at build time, grouped under their parent items)</w:t>
            </w:r>
          </w:p>
        </w:tc>
      </w:tr>
      <w:tr>
        <w:tc>
          <w:tcPr/>
          <w:p>
            <w:pPr>
              <w:pStyle w:val="Compact"/>
            </w:pPr>
            <w:r>
              <w:t xml:space="preserve">4 — SEO, URLs, analytics</w:t>
            </w:r>
          </w:p>
        </w:tc>
        <w:tc>
          <w:tcPr/>
          <w:p>
            <w:pPr>
              <w:pStyle w:val="Compact"/>
            </w:pPr>
            <w:r>
              <w:t xml:space="preserve">Partially underway (canonical URLs and JSON-LD ship already); sitemap, robots flip, the URL-parity crawler, and Plausible are next</w:t>
            </w:r>
          </w:p>
        </w:tc>
      </w:tr>
      <w:tr>
        <w:tc>
          <w:tcPr/>
          <w:p>
            <w:pPr>
              <w:pStyle w:val="Compact"/>
            </w:pPr>
            <w:r>
              <w:t xml:space="preserve">5–6 — Hardening &amp; launch</w:t>
            </w:r>
          </w:p>
        </w:tc>
        <w:tc>
          <w:tcPr/>
          <w:p>
            <w:pPr>
              <w:pStyle w:val="Compact"/>
            </w:pPr>
            <w:r>
              <w:t xml:space="preserve">Not started</w:t>
            </w:r>
          </w:p>
        </w:tc>
      </w:tr>
    </w:tbl>
    <w:p>
      <w:pPr>
        <w:pStyle w:val="BodyText"/>
      </w:pPr>
      <w:r>
        <w:rPr>
          <w:b/>
          <w:bCs/>
        </w:rPr>
        <w:t xml:space="preserve">Live preview:</w:t>
      </w:r>
      <w:r>
        <w:t xml:space="preserve"> </w:t>
      </w:r>
      <w:r>
        <w:rPr>
          <w:rStyle w:val="VerbatimChar"/>
        </w:rPr>
        <w:t xml:space="preserve">copperhead-hub-20.netlify.app/researchhub/</w:t>
      </w:r>
      <w:r>
        <w:t xml:space="preserve"> </w:t>
      </w:r>
      <w:r>
        <w:t xml:space="preserve">(blocked from search engines until launch). ~540 routes prerender in about ten seconds; the build carries 41 unit tests and 26 accessibility checks.</w:t>
      </w:r>
    </w:p>
    <w:p>
      <w:pPr>
        <w:pStyle w:val="BodyText"/>
      </w:pPr>
      <w:r>
        <w:rPr>
          <w:b/>
          <w:bCs/>
        </w:rPr>
        <w:t xml:space="preserve">Decisions made along the way</w:t>
      </w:r>
      <w:r>
        <w:t xml:space="preserve"> </w:t>
      </w:r>
      <w:r>
        <w:t xml:space="preserve">(recorded as ADRs in the repository): the content database was consolidated to</w:t>
      </w:r>
      <w:r>
        <w:t xml:space="preserve"> </w:t>
      </w:r>
      <w:r>
        <w:rPr>
          <w:b/>
          <w:bCs/>
        </w:rPr>
        <w:t xml:space="preserve">one content type per concept</w:t>
      </w:r>
      <w:r>
        <w:t xml:space="preserve"> </w:t>
      </w:r>
      <w:r>
        <w:t xml:space="preserve">— the redundant</w:t>
      </w:r>
      <w:r>
        <w:t xml:space="preserve"> </w:t>
      </w:r>
      <w:r>
        <w:rPr>
          <w:rStyle w:val="VerbatimChar"/>
        </w:rPr>
        <w:t xml:space="preserve">centerhomes</w:t>
      </w:r>
      <w:r>
        <w:t xml:space="preserve">/</w:t>
      </w:r>
      <w:r>
        <w:rPr>
          <w:rStyle w:val="VerbatimChar"/>
        </w:rPr>
        <w:t xml:space="preserve">projecthomes</w:t>
      </w:r>
      <w:r>
        <w:t xml:space="preserve"> </w:t>
      </w:r>
      <w:r>
        <w:t xml:space="preserve">singleton types were retired into ordinary</w:t>
      </w:r>
      <w:r>
        <w:t xml:space="preserve"> </w:t>
      </w:r>
      <w:r>
        <w:rPr>
          <w:rStyle w:val="VerbatimChar"/>
        </w:rPr>
        <w:t xml:space="preserve">pages</w:t>
      </w:r>
      <w:r>
        <w:t xml:space="preserve"> </w:t>
      </w:r>
      <w:r>
        <w:t xml:space="preserve">entries (deletion of the empty types is scheduled after July 31, 2026, once the current Strapi developer’s engagement ends).</w:t>
      </w:r>
    </w:p>
    <w:p>
      <w:pPr>
        <w:pStyle w:val="BodyText"/>
      </w:pPr>
      <w:r>
        <w:rPr>
          <w:b/>
          <w:bCs/>
        </w:rPr>
        <w:t xml:space="preserve">What the project needs from the content side</w:t>
      </w:r>
      <w:r>
        <w:t xml:space="preserve"> </w:t>
      </w:r>
      <w:r>
        <w:t xml:space="preserve">(everything is wired to go live automatically when authored in Strapi/Hub Studio): the</w:t>
      </w:r>
      <w:r>
        <w:t xml:space="preserve"> </w:t>
      </w:r>
      <w:r>
        <w:rPr>
          <w:rStyle w:val="VerbatimChar"/>
        </w:rPr>
        <w:t xml:space="preserve">hub-home</w:t>
      </w:r>
      <w:r>
        <w:t xml:space="preserve">,</w:t>
      </w:r>
      <w:r>
        <w:t xml:space="preserve"> </w:t>
      </w:r>
      <w:r>
        <w:rPr>
          <w:rStyle w:val="VerbatimChar"/>
        </w:rPr>
        <w:t xml:space="preserve">hub-overview</w:t>
      </w:r>
      <w:r>
        <w:t xml:space="preserve">, and</w:t>
      </w:r>
      <w:r>
        <w:t xml:space="preserve"> </w:t>
      </w:r>
      <w:r>
        <w:rPr>
          <w:rStyle w:val="VerbatimChar"/>
        </w:rPr>
        <w:t xml:space="preserve">dicra</w:t>
      </w:r>
      <w:r>
        <w:t xml:space="preserve"> </w:t>
      </w:r>
      <w:r>
        <w:t xml:space="preserve">page entries; corrected copy on the seeded project entries; and decisions on the publications/staff page sources and the newsletter signup integration (both flagged as Phase 4 items).</w:t>
      </w:r>
    </w:p>
    <w:p>
      <w:r>
        <w:pict>
          <v:rect style="width:0;height:1.5pt" o:hralign="center" o:hrstd="t" o:hr="t"/>
        </w:pict>
      </w:r>
    </w:p>
    <w:bookmarkEnd w:id="24"/>
    <w:bookmarkEnd w:id="25"/>
    <w:bookmarkStart w:id="30" w:name="part-ii--for-developers"/>
    <w:p>
      <w:pPr>
        <w:pStyle w:val="Heading1"/>
      </w:pPr>
      <w:r>
        <w:t xml:space="preserve">Part II — For Developers</w:t>
      </w:r>
    </w:p>
    <w:bookmarkStart w:id="26"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26"/>
    <w:bookmarkStart w:id="27"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27"/>
    <w:bookmarkStart w:id="28"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28"/>
    <w:bookmarkStart w:id="29" w:name="success-criteria-definition-of-done"/>
    <w:p>
      <w:pPr>
        <w:pStyle w:val="Heading2"/>
      </w:pPr>
      <w:r>
        <w:t xml:space="preserve">Success criteria (definition of done)</w:t>
      </w:r>
    </w:p>
    <w:p>
      <w:pPr>
        <w:pStyle w:val="Compact"/>
        <w:numPr>
          <w:ilvl w:val="0"/>
          <w:numId w:val="1015"/>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5"/>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5"/>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5"/>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5"/>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5"/>
        </w:numPr>
      </w:pPr>
      <w:r>
        <w:rPr>
          <w:b/>
          <w:bCs/>
        </w:rPr>
        <w:t xml:space="preserve">SEO:</w:t>
      </w:r>
      <w:r>
        <w:t xml:space="preserve"> </w:t>
      </w:r>
      <w:r>
        <w:t xml:space="preserve">sitemap, canonicals, JSON-LD, OG metadata validated; Plausible continuity demonstrated across cutover.</w:t>
      </w:r>
    </w:p>
    <w:p>
      <w:pPr>
        <w:pStyle w:val="Compact"/>
        <w:numPr>
          <w:ilvl w:val="0"/>
          <w:numId w:val="1015"/>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5"/>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29"/>
    <w:bookmarkEnd w:id="30"/>
    <w:bookmarkStart w:id="36"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31"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31"/>
    <w:bookmarkStart w:id="32"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32"/>
    <w:bookmarkStart w:id="33"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33"/>
    <w:bookmarkStart w:id="34"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34"/>
    <w:bookmarkStart w:id="35" w:name="a5-minor-defects-curated-30"/>
    <w:p>
      <w:pPr>
        <w:pStyle w:val="Heading2"/>
      </w:pPr>
      <w:r>
        <w:t xml:space="preserve">A.5 Minor defects (curated, 30)</w:t>
      </w:r>
    </w:p>
    <w:p>
      <w:pPr>
        <w:pStyle w:val="Compact"/>
        <w:numPr>
          <w:ilvl w:val="0"/>
          <w:numId w:val="1016"/>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6"/>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6"/>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6"/>
        </w:numPr>
      </w:pPr>
      <w:r>
        <w:t xml:space="preserve">UTC date formatting shifts evening timestamps a day backward (US-Central).</w:t>
      </w:r>
    </w:p>
    <w:p>
      <w:pPr>
        <w:pStyle w:val="Compact"/>
        <w:numPr>
          <w:ilvl w:val="0"/>
          <w:numId w:val="1016"/>
        </w:numPr>
      </w:pPr>
      <w:r>
        <w:t xml:space="preserve">Preview layout permanently overwrites the visitor’s color-mode preference.</w:t>
      </w:r>
    </w:p>
    <w:p>
      <w:pPr>
        <w:pStyle w:val="Compact"/>
        <w:numPr>
          <w:ilvl w:val="0"/>
          <w:numId w:val="1016"/>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6"/>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6"/>
        </w:numPr>
      </w:pPr>
      <w:r>
        <w:t xml:space="preserve">Tailwind class strings and icon names stored in CMS fields (purge/safelist trap).</w:t>
      </w:r>
    </w:p>
    <w:p>
      <w:pPr>
        <w:pStyle w:val="Compact"/>
        <w:numPr>
          <w:ilvl w:val="0"/>
          <w:numId w:val="1016"/>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6"/>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6"/>
        </w:numPr>
      </w:pPr>
      <w:r>
        <w:t xml:space="preserve">Image-URL prefixing logic triplicated.</w:t>
      </w:r>
    </w:p>
    <w:p>
      <w:pPr>
        <w:pStyle w:val="Compact"/>
        <w:numPr>
          <w:ilvl w:val="0"/>
          <w:numId w:val="1016"/>
        </w:numPr>
      </w:pPr>
      <w:r>
        <w:t xml:space="preserve">“No Image”</w:t>
      </w:r>
      <w:r>
        <w:t xml:space="preserve"> </w:t>
      </w:r>
      <w:r>
        <w:t xml:space="preserve">placeholder at ~1.9:1 contrast; inline styles mixed with utilities.</w:t>
      </w:r>
    </w:p>
    <w:p>
      <w:pPr>
        <w:pStyle w:val="Compact"/>
        <w:numPr>
          <w:ilvl w:val="0"/>
          <w:numId w:val="1016"/>
        </w:numPr>
      </w:pPr>
      <w:r>
        <w:t xml:space="preserve">Off-palette hovers; carousel arrows misbehave at bounds; fixed 420px card basis breaks small viewports.</w:t>
      </w:r>
    </w:p>
    <w:p>
      <w:pPr>
        <w:pStyle w:val="Compact"/>
        <w:numPr>
          <w:ilvl w:val="0"/>
          <w:numId w:val="1016"/>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6"/>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6"/>
        </w:numPr>
      </w:pPr>
      <w:r>
        <w:t xml:space="preserve">CSS-hack placeholder text invisible to assistive tech.</w:t>
      </w:r>
    </w:p>
    <w:p>
      <w:pPr>
        <w:pStyle w:val="Compact"/>
        <w:numPr>
          <w:ilvl w:val="0"/>
          <w:numId w:val="1016"/>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6"/>
        </w:numPr>
      </w:pPr>
      <w:r>
        <w:rPr>
          <w:rStyle w:val="VerbatimChar"/>
        </w:rPr>
        <w:t xml:space="preserve">formatDate</w:t>
      </w:r>
      <w:r>
        <w:t xml:space="preserve"> </w:t>
      </w:r>
      <w:r>
        <w:t xml:space="preserve">reimplemented in three places despite a util existing.</w:t>
      </w:r>
    </w:p>
    <w:p>
      <w:pPr>
        <w:pStyle w:val="Compact"/>
        <w:numPr>
          <w:ilvl w:val="0"/>
          <w:numId w:val="1016"/>
        </w:numPr>
      </w:pPr>
      <w:r>
        <w:t xml:space="preserve">Hardcoded CMS media URLs (hero images, og:image) in templates — a re-upload breaks the homepage.</w:t>
      </w:r>
    </w:p>
    <w:p>
      <w:pPr>
        <w:pStyle w:val="Compact"/>
        <w:numPr>
          <w:ilvl w:val="0"/>
          <w:numId w:val="1016"/>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6"/>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6"/>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6"/>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6"/>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6"/>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6"/>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6"/>
        </w:numPr>
      </w:pPr>
      <w:r>
        <w:rPr>
          <w:rStyle w:val="VerbatimChar"/>
        </w:rPr>
        <w:t xml:space="preserve">slugify</w:t>
      </w:r>
      <w:r>
        <w:t xml:space="preserve"> </w:t>
      </w:r>
      <w:r>
        <w:t xml:space="preserve">heading-ID collisions (duplicate headings).</w:t>
      </w:r>
    </w:p>
    <w:p>
      <w:pPr>
        <w:pStyle w:val="Compact"/>
        <w:numPr>
          <w:ilvl w:val="0"/>
          <w:numId w:val="1016"/>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6"/>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6"/>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35"/>
    <w:bookmarkEnd w:id="36"/>
    <w:bookmarkStart w:id="37"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37"/>
    <w:bookmarkStart w:id="38"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38"/>
    <w:bookmarkStart w:id="39" w:name="X8e127df9c12176fb20b75c96653728f7de60746"/>
    <w:p>
      <w:pPr>
        <w:pStyle w:val="Heading1"/>
      </w:pPr>
      <w:r>
        <w:t xml:space="preserve">Appendix D — Glossary (for non-technical readers)</w:t>
      </w:r>
    </w:p>
    <w:p>
      <w:pPr>
        <w:pStyle w:val="Compact"/>
        <w:numPr>
          <w:ilvl w:val="0"/>
          <w:numId w:val="1017"/>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17"/>
        </w:numPr>
      </w:pPr>
      <w:r>
        <w:rPr>
          <w:b/>
          <w:bCs/>
        </w:rPr>
        <w:t xml:space="preserve">Headless CMS:</w:t>
      </w:r>
      <w:r>
        <w:t xml:space="preserve"> </w:t>
      </w:r>
      <w:r>
        <w:t xml:space="preserve">a CMS that only stores content; a separate website (Copperhead) presents it.</w:t>
      </w:r>
    </w:p>
    <w:p>
      <w:pPr>
        <w:pStyle w:val="Compact"/>
        <w:numPr>
          <w:ilvl w:val="0"/>
          <w:numId w:val="1017"/>
        </w:numPr>
      </w:pPr>
      <w:r>
        <w:rPr>
          <w:b/>
          <w:bCs/>
        </w:rPr>
        <w:t xml:space="preserve">API:</w:t>
      </w:r>
      <w:r>
        <w:t xml:space="preserve"> </w:t>
      </w:r>
      <w:r>
        <w:t xml:space="preserve">the channel a website uses to ask the CMS for content.</w:t>
      </w:r>
    </w:p>
    <w:p>
      <w:pPr>
        <w:pStyle w:val="Compact"/>
        <w:numPr>
          <w:ilvl w:val="0"/>
          <w:numId w:val="1017"/>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17"/>
        </w:numPr>
      </w:pPr>
      <w:r>
        <w:rPr>
          <w:b/>
          <w:bCs/>
        </w:rPr>
        <w:t xml:space="preserve">CDN:</w:t>
      </w:r>
      <w:r>
        <w:t xml:space="preserve"> </w:t>
      </w:r>
      <w:r>
        <w:t xml:space="preserve">the network of servers that delivers those static files fast, everywhere.</w:t>
      </w:r>
    </w:p>
    <w:p>
      <w:pPr>
        <w:pStyle w:val="Compact"/>
        <w:numPr>
          <w:ilvl w:val="0"/>
          <w:numId w:val="1017"/>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17"/>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17"/>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17"/>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17"/>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17"/>
        </w:numPr>
      </w:pPr>
      <w:r>
        <w:rPr>
          <w:b/>
          <w:bCs/>
        </w:rPr>
        <w:t xml:space="preserve">Plausible:</w:t>
      </w:r>
      <w:r>
        <w:t xml:space="preserve"> </w:t>
      </w:r>
      <w:r>
        <w:t xml:space="preserve">the privacy-friendly analytics service that counts our traffic.</w:t>
      </w:r>
    </w:p>
    <w:p>
      <w:pPr>
        <w:pStyle w:val="Compact"/>
        <w:numPr>
          <w:ilvl w:val="0"/>
          <w:numId w:val="1017"/>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17"/>
        </w:numPr>
      </w:pPr>
      <w:r>
        <w:rPr>
          <w:b/>
          <w:bCs/>
        </w:rPr>
        <w:t xml:space="preserve">Codename:</w:t>
      </w:r>
      <w:r>
        <w:t xml:space="preserve"> </w:t>
      </w:r>
      <w:r>
        <w:t xml:space="preserve">an internal project label (see Section 2); retired at launch.</w:t>
      </w:r>
    </w:p>
    <w:p>
      <w:pPr>
        <w:pStyle w:val="Compact"/>
        <w:numPr>
          <w:ilvl w:val="0"/>
          <w:numId w:val="1017"/>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17"/>
        </w:numPr>
      </w:pPr>
      <w:r>
        <w:rPr>
          <w:b/>
          <w:bCs/>
        </w:rPr>
        <w:t xml:space="preserve">ADR (Architecture Decision Record):</w:t>
      </w:r>
      <w:r>
        <w:t xml:space="preserve"> </w:t>
      </w:r>
      <w:r>
        <w:t xml:space="preserve">a one-page written record of a significant technical decision and why it was made.</w:t>
      </w:r>
    </w:p>
    <w:bookmarkEnd w:id="39"/>
    <w:bookmarkStart w:id="49" w:name="appendix-e--referenced-resources"/>
    <w:p>
      <w:pPr>
        <w:pStyle w:val="Heading1"/>
      </w:pPr>
      <w:r>
        <w:t xml:space="preserve">Appendix E — Referenced resources</w:t>
      </w:r>
    </w:p>
    <w:p>
      <w:pPr>
        <w:pStyle w:val="FirstParagraph"/>
      </w:pPr>
      <w:r>
        <w:t xml:space="preserve">Every address below is a</w:t>
      </w:r>
      <w:r>
        <w:t xml:space="preserve"> </w:t>
      </w:r>
      <w:r>
        <w:rPr>
          <w:b/>
          <w:bCs/>
        </w:rPr>
        <w:t xml:space="preserve">live, clickable link</w:t>
      </w:r>
      <w:r>
        <w:t xml:space="preserve"> </w:t>
      </w:r>
      <w:r>
        <w:t xml:space="preserve">(the visible text is the full address, so it can also be copied from a printout).</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hyperlink r:id="rId11">
              <w:r>
                <w:rPr>
                  <w:rStyle w:val="VerbatimChar"/>
                </w:rPr>
                <w:t xml:space="preserve">https://icjia.illinois.gov/researchhub/</w:t>
              </w:r>
            </w:hyperlink>
          </w:p>
        </w:tc>
      </w:tr>
      <w:tr>
        <w:tc>
          <w:tcPr/>
          <w:p>
            <w:pPr>
              <w:pStyle w:val="Compact"/>
            </w:pPr>
            <w:r>
              <w:t xml:space="preserve">ICJIA main website</w:t>
            </w:r>
          </w:p>
        </w:tc>
        <w:tc>
          <w:tcPr/>
          <w:p>
            <w:pPr>
              <w:pStyle w:val="Compact"/>
            </w:pPr>
            <w:hyperlink r:id="rId40">
              <w:r>
                <w:rPr>
                  <w:rStyle w:val="VerbatimChar"/>
                </w:rPr>
                <w:t xml:space="preserve">https://icjia.illinois.gov/</w:t>
              </w:r>
            </w:hyperlink>
          </w:p>
        </w:tc>
      </w:tr>
      <w:tr>
        <w:tc>
          <w:tcPr/>
          <w:p>
            <w:pPr>
              <w:pStyle w:val="Compact"/>
            </w:pPr>
            <w:r>
              <w:t xml:space="preserve">Filter-UX proof of concept (live demo)</w:t>
            </w:r>
          </w:p>
        </w:tc>
        <w:tc>
          <w:tcPr/>
          <w:p>
            <w:pPr>
              <w:pStyle w:val="Compact"/>
            </w:pPr>
            <w:hyperlink r:id="rId41">
              <w:r>
                <w:rPr>
                  <w:rStyle w:val="VerbatimChar"/>
                </w:rPr>
                <w:t xml:space="preserve">https://v2-hub-demo.netlify.app/</w:t>
              </w:r>
            </w:hyperlink>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hyperlink r:id="rId42">
              <w:r>
                <w:rPr>
                  <w:rStyle w:val="VerbatimChar"/>
                </w:rPr>
                <w:t xml:space="preserve">https://researchhub.icjia-api.cloud</w:t>
              </w:r>
            </w:hyperlink>
          </w:p>
        </w:tc>
      </w:tr>
      <w:tr>
        <w:tc>
          <w:tcPr/>
          <w:p>
            <w:pPr>
              <w:pStyle w:val="Compact"/>
            </w:pPr>
            <w:r>
              <w:t xml:space="preserve">Strapi 5 (migrated, current — Copperhead’s source)</w:t>
            </w:r>
          </w:p>
        </w:tc>
        <w:tc>
          <w:tcPr/>
          <w:p>
            <w:pPr>
              <w:pStyle w:val="Compact"/>
            </w:pPr>
            <w:hyperlink r:id="rId43">
              <w:r>
                <w:rPr>
                  <w:rStyle w:val="VerbatimChar"/>
                </w:rPr>
                <w:t xml:space="preserve">https://v2.hub.icjia-api.cloud</w:t>
              </w:r>
            </w:hyperlink>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hyperlink r:id="rId44">
              <w:r>
                <w:rPr>
                  <w:rStyle w:val="VerbatimChar"/>
                </w:rPr>
                <w:t xml:space="preserve">github.com/ICJIA/copperhead-hub-20</w:t>
              </w:r>
            </w:hyperlink>
          </w:p>
        </w:tc>
        <w:tc>
          <w:tcPr/>
          <w:p>
            <w:pPr>
              <w:pStyle w:val="Compact"/>
            </w:pPr>
            <w:r>
              <w:rPr>
                <w:b/>
                <w:bCs/>
              </w:rPr>
              <w:t xml:space="preserve">Project Copperhead — this project’s repository</w:t>
            </w:r>
            <w:r>
              <w:t xml:space="preserve"> </w:t>
            </w:r>
            <w:r>
              <w:t xml:space="preserve">(home of this document)</w:t>
            </w:r>
          </w:p>
        </w:tc>
      </w:tr>
      <w:tr>
        <w:tc>
          <w:tcPr/>
          <w:p>
            <w:pPr>
              <w:pStyle w:val="Compact"/>
            </w:pPr>
            <w:hyperlink r:id="rId18">
              <w:r>
                <w:rPr>
                  <w:rStyle w:val="VerbatimChar"/>
                </w:rPr>
                <w:t xml:space="preserve">github.com/ICJIA/hub-frontend</w:t>
              </w:r>
            </w:hyperlink>
          </w:p>
        </w:tc>
        <w:tc>
          <w:tcPr/>
          <w:p>
            <w:pPr>
              <w:pStyle w:val="Compact"/>
            </w:pPr>
            <w:r>
              <w:t xml:space="preserve">The unfinished 2026 rewrite assessed in this document (to be archived)</w:t>
            </w:r>
          </w:p>
        </w:tc>
      </w:tr>
      <w:tr>
        <w:tc>
          <w:tcPr/>
          <w:p>
            <w:pPr>
              <w:pStyle w:val="Compact"/>
            </w:pPr>
            <w:hyperlink r:id="rId14">
              <w:r>
                <w:rPr>
                  <w:rStyle w:val="VerbatimChar"/>
                </w:rPr>
                <w:t xml:space="preserve">github.com/ICJIA/hub-studio-2026</w:t>
              </w:r>
            </w:hyperlink>
          </w:p>
        </w:tc>
        <w:tc>
          <w:tcPr/>
          <w:p>
            <w:pPr>
              <w:pStyle w:val="Compact"/>
            </w:pPr>
            <w:r>
              <w:t xml:space="preserve">Hub Studio 2.0 — internal authoring/preview/publishing tool</w:t>
            </w:r>
          </w:p>
        </w:tc>
      </w:tr>
      <w:tr>
        <w:tc>
          <w:tcPr/>
          <w:p>
            <w:pPr>
              <w:pStyle w:val="Compact"/>
            </w:pPr>
            <w:hyperlink r:id="rId13">
              <w:r>
                <w:rPr>
                  <w:rStyle w:val="VerbatimChar"/>
                </w:rPr>
                <w:t xml:space="preserve">github.com/ICJIA/hub-migration-tools</w:t>
              </w:r>
            </w:hyperlink>
          </w:p>
        </w:tc>
        <w:tc>
          <w:tcPr/>
          <w:p>
            <w:pPr>
              <w:pStyle w:val="Compact"/>
            </w:pPr>
            <w:r>
              <w:t xml:space="preserve">Completed, verified Strapi 3 → 5 content migration (with incremental sync)</w:t>
            </w:r>
          </w:p>
        </w:tc>
      </w:tr>
      <w:tr>
        <w:tc>
          <w:tcPr/>
          <w:p>
            <w:pPr>
              <w:pStyle w:val="Compact"/>
            </w:pPr>
            <w:hyperlink r:id="rId15">
              <w:r>
                <w:rPr>
                  <w:rStyle w:val="VerbatimChar"/>
                </w:rPr>
                <w:t xml:space="preserve">github.com/ICJIA/v2-hub-demo</w:t>
              </w:r>
            </w:hyperlink>
          </w:p>
        </w:tc>
        <w:tc>
          <w:tcPr/>
          <w:p>
            <w:pPr>
              <w:pStyle w:val="Compact"/>
            </w:pPr>
            <w:r>
              <w:t xml:space="preserve">Filter/search UX proof of concept</w:t>
            </w:r>
          </w:p>
        </w:tc>
      </w:tr>
      <w:tr>
        <w:tc>
          <w:tcPr/>
          <w:p>
            <w:pPr>
              <w:pStyle w:val="Compact"/>
            </w:pPr>
            <w:hyperlink r:id="rId16">
              <w:r>
                <w:rPr>
                  <w:rStyle w:val="VerbatimChar"/>
                </w:rPr>
                <w:t xml:space="preserve">github.com/ICJIA/pdf-search-index</w:t>
              </w:r>
            </w:hyperlink>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hyperlink r:id="rId45">
              <w:r>
                <w:rPr>
                  <w:rStyle w:val="VerbatimChar"/>
                </w:rPr>
                <w:t xml:space="preserve">github.com/ICJIA/icjia-public-client-2021</w:t>
              </w:r>
            </w:hyperlink>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hyperlink r:id="rId46">
              <w:r>
                <w:rPr>
                  <w:rStyle w:val="VerbatimChar"/>
                </w:rPr>
                <w:t xml:space="preserve">https://www.w3.org/TR/WCAG21/</w:t>
              </w:r>
            </w:hyperlink>
          </w:p>
        </w:tc>
      </w:tr>
      <w:tr>
        <w:tc>
          <w:tcPr/>
          <w:p>
            <w:pPr>
              <w:pStyle w:val="Compact"/>
            </w:pPr>
            <w:r>
              <w:t xml:space="preserve">DOJ ADA Title II web accessibility rule</w:t>
            </w:r>
          </w:p>
        </w:tc>
        <w:tc>
          <w:tcPr/>
          <w:p>
            <w:pPr>
              <w:pStyle w:val="Compact"/>
            </w:pPr>
            <w:hyperlink r:id="rId47">
              <w:r>
                <w:rPr>
                  <w:rStyle w:val="VerbatimChar"/>
                </w:rPr>
                <w:t xml:space="preserve">https://www.ada.gov/resources/2024-03-08-web-rule/</w:t>
              </w:r>
            </w:hyperlink>
          </w:p>
        </w:tc>
      </w:tr>
      <w:tr>
        <w:tc>
          <w:tcPr/>
          <w:p>
            <w:pPr>
              <w:pStyle w:val="Compact"/>
            </w:pPr>
            <w:r>
              <w:t xml:space="preserve">IITAA (Illinois accessibility act)</w:t>
            </w:r>
          </w:p>
        </w:tc>
        <w:tc>
          <w:tcPr/>
          <w:p>
            <w:pPr>
              <w:pStyle w:val="Compact"/>
            </w:pPr>
            <w:hyperlink r:id="rId48">
              <w:r>
                <w:rPr>
                  <w:rStyle w:val="VerbatimChar"/>
                </w:rPr>
                <w:t xml:space="preserve">https://doit.illinois.gov</w:t>
              </w:r>
            </w:hyperlink>
            <w:r>
              <w:t xml:space="preserve"> </w:t>
            </w:r>
            <w:r>
              <w:t xml:space="preserve">(Accessibility section)</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2026-07-11T16:17:59Z</dcterms:created>
  <dcterms:modified xsi:type="dcterms:W3CDTF">2026-07-11T16:17:59Z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Draft v1.0</vt:lpwstr>
  </property>
  <property fmtid="{D5CDD505-2E9C-101B-9397-08002B2CF9AE}" pid="3" name="subtitle">
    <vt:lpwstr>ICJIA Research Hub 2.0 — Assessment of the Unfinished Rewrite and Roadmap to Completion</vt:lpwstr>
  </property>
</Properties>
</file>