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continuously updated — last revised 2026-07-16 (tracks app v0.24.0)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r>
        <w:pict>
          <v:rect style="width:0;height:1.5pt" o:hralign="center" o:hrstd="t" o:hr="t"/>
        </w:pict>
      </w:r>
    </w:p>
    <w:bookmarkStart w:id="9" w:name="build-changelog"/>
    <w:p>
      <w:pPr>
        <w:pStyle w:val="Heading2"/>
      </w:pPr>
      <w:r>
        <w:t xml:space="preserve">Build changelog</w:t>
      </w:r>
    </w:p>
    <w:p>
      <w:pPr>
        <w:pStyle w:val="FirstParagraph"/>
      </w:pPr>
      <w:r>
        <w:rPr>
          <w:i/>
          <w:iCs/>
        </w:rPr>
        <w:t xml:space="preserve">This section is kept current with every substantive change so managers can see what shipped, by date and version, at any time. Newest first. The full technical changelog lives in the repository’s</w:t>
      </w:r>
      <w:r>
        <w:rPr>
          <w:i/>
          <w:iCs/>
        </w:rPr>
        <w:t xml:space="preserve"> </w:t>
      </w:r>
      <w:r>
        <w:rPr>
          <w:rStyle w:val="VerbatimChar"/>
          <w:i/>
          <w:iCs/>
        </w:rPr>
        <w:t xml:space="preserve">CHANGELOG.md</w:t>
      </w:r>
      <w:r>
        <w:rPr>
          <w:i/>
          <w:iCs/>
        </w:rPr>
        <w:t xml:space="preserve">; the forward-looking view is in</w:t>
      </w:r>
      <w:r>
        <w:rPr>
          <w:i/>
          <w:iCs/>
        </w:rPr>
        <w:t xml:space="preserve"> </w:t>
      </w:r>
      <w:r>
        <w:rPr>
          <w:rStyle w:val="VerbatimChar"/>
          <w:i/>
          <w:iCs/>
        </w:rPr>
        <w:t xml:space="preserve">ROADMAP.md</w:t>
      </w:r>
      <w:r>
        <w:rPr>
          <w:i/>
          <w:iCs/>
        </w:rPr>
        <w:t xml:space="preserve">. This spec is also readable inside the app itself (bottom status bar →</w:t>
      </w:r>
      <w:r>
        <w:rPr>
          <w:i/>
          <w:iCs/>
        </w:rPr>
        <w:t xml:space="preserve"> </w:t>
      </w:r>
      <w:r>
        <w:rPr>
          <w:i/>
          <w:iCs/>
        </w:rPr>
        <w:t xml:space="preserve">“Spec”</w:t>
      </w:r>
      <w:r>
        <w:rPr>
          <w:i/>
          <w:iCs/>
        </w:rPr>
        <w:t xml:space="preserve">), which always links to the current</w:t>
      </w:r>
      <w:r>
        <w:rPr>
          <w:i/>
          <w:iCs/>
        </w:rPr>
        <w:t xml:space="preserve"> </w:t>
      </w:r>
      <w:r>
        <w:rPr>
          <w:rStyle w:val="VerbatimChar"/>
          <w:i/>
          <w:iCs/>
        </w:rPr>
        <w:t xml:space="preserve">.md</w:t>
      </w:r>
      <w:r>
        <w:rPr>
          <w:i/>
          <w:iCs/>
        </w:rPr>
        <w:t xml:space="preserve"> </w:t>
      </w:r>
      <w:r>
        <w:rPr>
          <w:i/>
          <w:iCs/>
        </w:rPr>
        <w:t xml:space="preserve">and</w:t>
      </w:r>
      <w:r>
        <w:rPr>
          <w:i/>
          <w:iCs/>
        </w:rPr>
        <w:t xml:space="preserve"> </w:t>
      </w:r>
      <w:r>
        <w:rPr>
          <w:rStyle w:val="VerbatimChar"/>
          <w:i/>
          <w:iCs/>
        </w:rPr>
        <w:t xml:space="preserve">.docx</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shipped</w:t>
            </w:r>
          </w:p>
        </w:tc>
      </w:tr>
      <w:tr>
        <w:tc>
          <w:tcPr/>
          <w:p>
            <w:pPr>
              <w:pStyle w:val="Compact"/>
            </w:pPr>
            <w:r>
              <w:rPr>
                <w:b/>
                <w:bCs/>
              </w:rPr>
              <w:t xml:space="preserve">v0.24.0</w:t>
            </w:r>
          </w:p>
        </w:tc>
        <w:tc>
          <w:tcPr/>
          <w:p>
            <w:pPr>
              <w:pStyle w:val="Compact"/>
            </w:pPr>
            <w:r>
              <w:t xml:space="preserve">2026-07-16</w:t>
            </w:r>
          </w:p>
        </w:tc>
        <w:tc>
          <w:tcPr/>
          <w:p>
            <w:pPr>
              <w:pStyle w:val="Compact"/>
            </w:pPr>
            <w:r>
              <w:t xml:space="preserve">Manager-facing docs and a bottom status bar (current version, GitHub repo, changelog, this spec, roadmap); the real ICJIA logo in the footer; this spec rendered inside the app with</w:t>
            </w:r>
            <w:r>
              <w:t xml:space="preserve"> </w:t>
            </w:r>
            <w:r>
              <w:rPr>
                <w:rStyle w:val="VerbatimChar"/>
              </w:rPr>
              <w:t xml:space="preserve">.md</w:t>
            </w:r>
            <w:r>
              <w:t xml:space="preserve">/</w:t>
            </w:r>
            <w:r>
              <w:rPr>
                <w:rStyle w:val="VerbatimChar"/>
              </w:rPr>
              <w:t xml:space="preserve">.docx</w:t>
            </w:r>
            <w:r>
              <w:t xml:space="preserve"> </w:t>
            </w:r>
            <w:r>
              <w:t xml:space="preserve">downloads.</w:t>
            </w:r>
          </w:p>
        </w:tc>
      </w:tr>
      <w:tr>
        <w:tc>
          <w:tcPr/>
          <w:p>
            <w:pPr>
              <w:pStyle w:val="Compact"/>
            </w:pPr>
            <w:r>
              <w:rPr>
                <w:b/>
                <w:bCs/>
              </w:rPr>
              <w:t xml:space="preserve">v0.23.0</w:t>
            </w:r>
          </w:p>
        </w:tc>
        <w:tc>
          <w:tcPr/>
          <w:p>
            <w:pPr>
              <w:pStyle w:val="Compact"/>
            </w:pPr>
            <w:r>
              <w:t xml:space="preserve">2026-07-16</w:t>
            </w:r>
          </w:p>
        </w:tc>
        <w:tc>
          <w:tcPr/>
          <w:p>
            <w:pPr>
              <w:pStyle w:val="Compact"/>
            </w:pPr>
            <w:r>
              <w:t xml:space="preserve">Gentle view transitions — soft fades between pages, on filtering, and on the centers</w:t>
            </w:r>
            <w:r>
              <w:t xml:space="preserve"> </w:t>
            </w:r>
            <w:r>
              <w:t xml:space="preserve">“Read More”</w:t>
            </w:r>
            <w:r>
              <w:t xml:space="preserve"> </w:t>
            </w:r>
            <w:r>
              <w:t xml:space="preserve">reveal (all disabled when the reader prefers reduced motion). Fixed a bug where the centers</w:t>
            </w:r>
            <w:r>
              <w:t xml:space="preserve"> </w:t>
            </w:r>
            <w:r>
              <w:t xml:space="preserve">“Read More”</w:t>
            </w:r>
            <w:r>
              <w:t xml:space="preserve"> </w:t>
            </w:r>
            <w:r>
              <w:t xml:space="preserve">never actually revealed the full text.</w:t>
            </w:r>
          </w:p>
        </w:tc>
      </w:tr>
      <w:tr>
        <w:tc>
          <w:tcPr/>
          <w:p>
            <w:pPr>
              <w:pStyle w:val="Compact"/>
            </w:pPr>
            <w:r>
              <w:rPr>
                <w:b/>
                <w:bCs/>
              </w:rPr>
              <w:t xml:space="preserve">v0.22.0</w:t>
            </w:r>
          </w:p>
        </w:tc>
        <w:tc>
          <w:tcPr/>
          <w:p>
            <w:pPr>
              <w:pStyle w:val="Compact"/>
            </w:pPr>
            <w:r>
              <w:t xml:space="preserve">2026-07-16</w:t>
            </w:r>
          </w:p>
        </w:tc>
        <w:tc>
          <w:tcPr/>
          <w:p>
            <w:pPr>
              <w:pStyle w:val="Compact"/>
            </w:pPr>
            <w:r>
              <w:t xml:space="preserve">In-app PDF reader with search-term highlighting: a search hit inside a published PDF now opens the document in the app with the searched term highlighted, a match counter, and previous/next navigation.</w:t>
            </w:r>
          </w:p>
        </w:tc>
      </w:tr>
      <w:tr>
        <w:tc>
          <w:tcPr/>
          <w:p>
            <w:pPr>
              <w:pStyle w:val="Compact"/>
            </w:pPr>
            <w:r>
              <w:rPr>
                <w:b/>
                <w:bCs/>
              </w:rPr>
              <w:t xml:space="preserve">v0.20.0 – v0.21.0</w:t>
            </w:r>
          </w:p>
        </w:tc>
        <w:tc>
          <w:tcPr/>
          <w:p>
            <w:pPr>
              <w:pStyle w:val="Compact"/>
            </w:pPr>
            <w:r>
              <w:t xml:space="preserve">2026-07-16</w:t>
            </w:r>
          </w:p>
        </w:tc>
        <w:tc>
          <w:tcPr/>
          <w:p>
            <w:pPr>
              <w:pStyle w:val="Compact"/>
            </w:pPr>
            <w:r>
              <w:t xml:space="preserve">Figma design-parity pass — clickable homepage project cards, a project-to-project mini-nav,</w:t>
            </w:r>
            <w:r>
              <w:t xml:space="preserve"> </w:t>
            </w:r>
            <w:r>
              <w:t xml:space="preserve">“Next Article”</w:t>
            </w:r>
            <w:r>
              <w:t xml:space="preserve"> </w:t>
            </w:r>
            <w:r>
              <w:t xml:space="preserve">and</w:t>
            </w:r>
            <w:r>
              <w:t xml:space="preserve"> </w:t>
            </w:r>
            <w:r>
              <w:t xml:space="preserve">“More Articles from Author(s)”</w:t>
            </w:r>
            <w:r>
              <w:t xml:space="preserve">, a</w:t>
            </w:r>
            <w:r>
              <w:t xml:space="preserve"> </w:t>
            </w:r>
            <w:r>
              <w:t xml:space="preserve">“View Resources”</w:t>
            </w:r>
            <w:r>
              <w:t xml:space="preserve"> </w:t>
            </w:r>
            <w:r>
              <w:t xml:space="preserve">section, and the centers accordion opening its first entry.</w:t>
            </w:r>
          </w:p>
        </w:tc>
      </w:tr>
      <w:tr>
        <w:tc>
          <w:tcPr/>
          <w:p>
            <w:pPr>
              <w:pStyle w:val="Compact"/>
            </w:pPr>
            <w:r>
              <w:rPr>
                <w:b/>
                <w:bCs/>
              </w:rPr>
              <w:t xml:space="preserve">v0.19.x</w:t>
            </w:r>
          </w:p>
        </w:tc>
        <w:tc>
          <w:tcPr/>
          <w:p>
            <w:pPr>
              <w:pStyle w:val="Compact"/>
            </w:pPr>
            <w:r>
              <w:t xml:space="preserve">2026-07-11</w:t>
            </w:r>
          </w:p>
        </w:tc>
        <w:tc>
          <w:tcPr/>
          <w:p>
            <w:pPr>
              <w:pStyle w:val="Compact"/>
            </w:pPr>
            <w:r>
              <w:t xml:space="preserve">Site-wide footnote-rendering fixes (52 articles) plus a paste-ready content-fix package for the 9 with corrupted source; reference pop-up; table restyling; in-place</w:t>
            </w:r>
            <w:r>
              <w:t xml:space="preserve"> </w:t>
            </w:r>
            <w:r>
              <w:t xml:space="preserve">“Load More”</w:t>
            </w:r>
            <w:r>
              <w:t xml:space="preserve">; smooth table-of-contents scrolling.</w:t>
            </w:r>
          </w:p>
        </w:tc>
      </w:tr>
      <w:tr>
        <w:tc>
          <w:tcPr/>
          <w:p>
            <w:pPr>
              <w:pStyle w:val="Compact"/>
            </w:pPr>
            <w:r>
              <w:rPr>
                <w:b/>
                <w:bCs/>
              </w:rPr>
              <w:t xml:space="preserve">v0.1 – v0.19</w:t>
            </w:r>
          </w:p>
        </w:tc>
        <w:tc>
          <w:tcPr/>
          <w:p>
            <w:pPr>
              <w:pStyle w:val="Compact"/>
            </w:pPr>
            <w:r>
              <w:t xml:space="preserve">2026-07-11</w:t>
            </w:r>
          </w:p>
        </w:tc>
        <w:tc>
          <w:tcPr/>
          <w:p>
            <w:pPr>
              <w:pStyle w:val="Compact"/>
            </w:pPr>
            <w:r>
              <w:t xml:space="preserve">Initial six-phase build to a complete working first draft at the private preview address (details in</w:t>
            </w:r>
            <w:r>
              <w:t xml:space="preserve"> </w:t>
            </w:r>
            <w:r>
              <w:t xml:space="preserve">“Progress update — July 11, 2026”</w:t>
            </w:r>
            <w:r>
              <w:t xml:space="preserve"> </w:t>
            </w:r>
            <w:r>
              <w:t xml:space="preserve">below).</w:t>
            </w:r>
          </w:p>
        </w:tc>
      </w:tr>
    </w:tbl>
    <w:p>
      <w:r>
        <w:pict>
          <v:rect style="width:0;height:1.5pt" o:hralign="center" o:hrstd="t" o:hr="t"/>
        </w:pic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End w:id="9"/>
    <w:bookmarkStart w:id="26" w:name="part-i--for-decision-makers"/>
    <w:p>
      <w:pPr>
        <w:pStyle w:val="Heading1"/>
      </w:pPr>
      <w:r>
        <w:t xml:space="preserve">Part I — For Decision-Makers</w:t>
      </w:r>
    </w:p>
    <w:bookmarkStart w:id="10"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i/>
          <w:iCs/>
        </w:rPr>
        <w:t xml:space="preserve">(Since this plan was approved, a complete working</w:t>
      </w:r>
      <w:r>
        <w:rPr>
          <w:i/>
          <w:iCs/>
        </w:rPr>
        <w:t xml:space="preserve"> </w:t>
      </w:r>
      <w:r>
        <w:rPr>
          <w:b/>
          <w:bCs/>
          <w:i/>
          <w:iCs/>
        </w:rPr>
        <w:t xml:space="preserve">first draft</w:t>
      </w:r>
      <w:r>
        <w:rPr>
          <w:i/>
          <w:iCs/>
        </w:rPr>
        <w:t xml:space="preserve"> </w:t>
      </w:r>
      <w:r>
        <w:rPr>
          <w:i/>
          <w:iCs/>
        </w:rPr>
        <w:t xml:space="preserve">of the new site has been built at a private preview address — see</w:t>
      </w:r>
      <w:r>
        <w:rPr>
          <w:i/>
          <w:iCs/>
        </w:rPr>
        <w:t xml:space="preserve"> </w:t>
      </w:r>
      <w:r>
        <w:rPr>
          <w:i/>
          <w:iCs/>
        </w:rPr>
        <w:t xml:space="preserve">“Progress update — July 11, 2026”</w:t>
      </w:r>
      <w:r>
        <w:rPr>
          <w:i/>
          <w:iCs/>
        </w:rPr>
        <w:t xml:space="preserve"> </w:t>
      </w:r>
      <w:r>
        <w:rPr>
          <w:i/>
          <w:iCs/>
        </w:rPr>
        <w:t xml:space="preserve">below. It is not public and not final; the phases, risks, and asks in this document remain the roadmap for finishing it.)</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10"/>
    <w:bookmarkStart w:id="11"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1"/>
    <w:bookmarkStart w:id="13"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2">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3"/>
    <w:bookmarkStart w:id="18"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4">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5">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6">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7">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8"/>
    <w:bookmarkStart w:id="20"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9">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20"/>
    <w:bookmarkStart w:id="21"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1"/>
    <w:bookmarkStart w:id="24"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2"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2"/>
    <w:bookmarkStart w:id="23"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3"/>
    <w:bookmarkEnd w:id="24"/>
    <w:bookmarkStart w:id="25" w:name="progress-update--july-11-2026"/>
    <w:p>
      <w:pPr>
        <w:pStyle w:val="Heading2"/>
      </w:pPr>
      <w:r>
        <w:t xml:space="preserve">Progress update — July 11, 2026</w:t>
      </w:r>
    </w:p>
    <w:p>
      <w:pPr>
        <w:pStyle w:val="FirstParagraph"/>
      </w:pPr>
      <w:r>
        <w:rPr>
          <w:b/>
          <w:bCs/>
        </w:rPr>
        <w:t xml:space="preserve">The one-sentence status: a complete working first draft of the new Research Hub now exists — private, not public, and not final.</w:t>
      </w:r>
    </w:p>
    <w:p>
      <w:pPr>
        <w:pStyle w:val="BodyText"/>
      </w:pPr>
      <w:r>
        <w:t xml:space="preserve">Think of it the way you’d think of a report manuscript: every chapter has been written and reads end-to-end, and now comes the editing. All ~540 pages of the new site render and work at a private preview address (the live Research Hub is untouched). Every article, dataset, and dashboard is browsable in the new design; search — including search</w:t>
      </w:r>
      <w:r>
        <w:t xml:space="preserve"> </w:t>
      </w:r>
      <w:r>
        <w:rPr>
          <w:i/>
          <w:iCs/>
        </w:rPr>
        <w:t xml:space="preserve">inside</w:t>
      </w:r>
      <w:r>
        <w:t xml:space="preserve"> </w:t>
      </w:r>
      <w:r>
        <w:t xml:space="preserve">published PDF documents — works; and every change is automatically checked against accessibility, performance, and correctness standards before it can ship.</w:t>
      </w:r>
      <w:r>
        <w:t xml:space="preserve"> </w:t>
      </w:r>
      <w:r>
        <w:rPr>
          <w:b/>
          <w:bCs/>
        </w:rPr>
        <w:t xml:space="preserve">None of this is public</w:t>
      </w:r>
      <w:r>
        <w:t xml:space="preserve">, and none of it is finished: it is scaffolding and first-draft work, deliberately built early so that reviewing, refining, and content-writing can happen against something real rather than against mockups.</w:t>
      </w:r>
    </w:p>
    <w:p>
      <w:pPr>
        <w:pStyle w:val="BodyText"/>
      </w:pPr>
      <w:r>
        <w:rPr>
          <w:b/>
          <w:bCs/>
        </w:rPr>
        <w:t xml:space="preserve">What</w:t>
      </w:r>
      <w:r>
        <w:rPr>
          <w:b/>
          <w:bCs/>
        </w:rPr>
        <w:t xml:space="preserve"> </w:t>
      </w:r>
      <w:r>
        <w:rPr>
          <w:b/>
          <w:bCs/>
        </w:rPr>
        <w:t xml:space="preserve">“first draft”</w:t>
      </w:r>
      <w:r>
        <w:rPr>
          <w:b/>
          <w:bCs/>
        </w:rPr>
        <w:t xml:space="preserve"> </w:t>
      </w:r>
      <w:r>
        <w:rPr>
          <w:b/>
          <w:bCs/>
        </w:rPr>
        <w:t xml:space="preserve">means concretely — still to do before anyone outside the team sees it:</w:t>
      </w:r>
    </w:p>
    <w:p>
      <w:pPr>
        <w:pStyle w:val="Compact"/>
        <w:numPr>
          <w:ilvl w:val="0"/>
          <w:numId w:val="1015"/>
        </w:numPr>
      </w:pPr>
      <w:r>
        <w:t xml:space="preserve">Two design-fidelity passes now track the Figma mockups across all built sections (hero bands, card treatments, filter/sort controls, header/footer chrome); the designer’s formal review remains, and a handful of designed elements await pages that don’t exist on the main site yet (Partners, Grant Status Request, Terms of Use, the language/translate bar — documented for coordination).</w:t>
      </w:r>
    </w:p>
    <w:p>
      <w:pPr>
        <w:pStyle w:val="Compact"/>
        <w:numPr>
          <w:ilvl w:val="0"/>
          <w:numId w:val="1015"/>
        </w:numPr>
      </w:pPr>
      <w:r>
        <w:t xml:space="preserve">Some copy on the site is</w:t>
      </w:r>
      <w:r>
        <w:t xml:space="preserve"> </w:t>
      </w:r>
      <w:r>
        <w:rPr>
          <w:b/>
          <w:bCs/>
        </w:rPr>
        <w:t xml:space="preserve">placeholder text</w:t>
      </w:r>
      <w:r>
        <w:t xml:space="preserve"> </w:t>
      </w:r>
      <w:r>
        <w:t xml:space="preserve">(clearly marked in the code) awaiting real content in the CMS — the homepage narrative, the projects section copy, and the publications/staff pages in particular.</w:t>
      </w:r>
    </w:p>
    <w:p>
      <w:pPr>
        <w:pStyle w:val="Compact"/>
        <w:numPr>
          <w:ilvl w:val="0"/>
          <w:numId w:val="1015"/>
        </w:numPr>
      </w:pPr>
      <w:r>
        <w:t xml:space="preserve">Content authored on the current Hub since March (about 17 newer articles) syncs over at cutover, and three standing pages (hub overview, DICRA, homepage content) are waiting to be written in the new CMS.</w:t>
      </w:r>
    </w:p>
    <w:p>
      <w:pPr>
        <w:pStyle w:val="Compact"/>
        <w:numPr>
          <w:ilvl w:val="0"/>
          <w:numId w:val="1015"/>
        </w:numPr>
      </w:pPr>
      <w:r>
        <w:t xml:space="preserve">The manual accessibility walkthrough has been</w:t>
      </w:r>
      <w:r>
        <w:t xml:space="preserve"> </w:t>
      </w:r>
      <w:r>
        <w:rPr>
          <w:b/>
          <w:bCs/>
        </w:rPr>
        <w:t xml:space="preserve">executed and passed clean</w:t>
      </w:r>
      <w:r>
        <w:t xml:space="preserve"> </w:t>
      </w:r>
      <w:r>
        <w:t xml:space="preserve">(keyboard operability, small-screen reflow, motion preferences — findings fixed same-day and memoed); a live screen-reader listening session, a content-freeze rehearsal, and the launch-day checklist remain — all scripted in the project runbook.</w:t>
      </w:r>
    </w:p>
    <w:p>
      <w:pPr>
        <w:pStyle w:val="Compact"/>
        <w:numPr>
          <w:ilvl w:val="0"/>
          <w:numId w:val="1015"/>
        </w:numPr>
      </w:pPr>
      <w:r>
        <w:t xml:space="preserve">The preview is deliberately hidden from search engines until launch.</w:t>
      </w:r>
    </w:p>
    <w:p>
      <w:pPr>
        <w:pStyle w:val="FirstParagraph"/>
      </w:pPr>
      <w:r>
        <w:t xml:space="preserve">Build state by phase (engineering detail —</w:t>
      </w:r>
      <w:r>
        <w:t xml:space="preserve"> </w:t>
      </w:r>
      <w:r>
        <w:t xml:space="preserve">“built”</w:t>
      </w:r>
      <w:r>
        <w:t xml:space="preserve"> </w:t>
      </w:r>
      <w:r>
        <w:t xml:space="preserve">below means</w:t>
      </w:r>
      <w:r>
        <w:t xml:space="preserve"> </w:t>
      </w:r>
      <w:r>
        <w:rPr>
          <w:i/>
          <w:iCs/>
        </w:rPr>
        <w:t xml:space="preserve">working in the draft</w:t>
      </w:r>
      <w:r>
        <w:t xml:space="preserve">, not launched):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First draft built.</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First draft built.</w:t>
            </w:r>
            <w:r>
              <w:t xml:space="preserve"> </w:t>
            </w:r>
            <w:r>
              <w:t xml:space="preserve">The three stakeholder concerns are addressed: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First draft built.</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First draft built; walkthrough passed.</w:t>
            </w:r>
            <w:r>
              <w:t xml:space="preserve"> </w:t>
            </w:r>
            <w:r>
              <w:t xml:space="preserve">The manual accessibility walkthrough has been executed across every template in both color themes and passed clean (its findings — small-screen reflow, motion preferences — were fixed the same day); a strict content-security policy and security headers are live and verified; every header/footer link was audited against the main site’s real page inventory (ten dead links fixed); the build-time CMS credential was rotated to read-only and stored as a masked secret. 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Private preview:</w:t>
      </w:r>
      <w:r>
        <w:t xml:space="preserve"> </w:t>
      </w:r>
      <w:r>
        <w:rPr>
          <w:rStyle w:val="VerbatimChar"/>
        </w:rPr>
        <w:t xml:space="preserve">copperhead-hub-20.netlify.app/researchhub/</w:t>
      </w:r>
      <w:r>
        <w:t xml:space="preserve"> </w:t>
      </w:r>
      <w:r>
        <w:t xml:space="preserve">— a draft for internal review only, blocked from search engines until launch. ~540 pages rebuild in about ten seconds; every change passes 46 unit tests, 30 accessibility checks, and performance budgets before it can deploy.</w:t>
      </w:r>
    </w:p>
    <w:p>
      <w:pPr>
        <w:pStyle w:val="BodyText"/>
      </w:pPr>
      <w:r>
        <w:rPr>
          <w:b/>
          <w:bCs/>
        </w:rPr>
        <w:t xml:space="preserve">Reader-experience refinements (added later on July 11):</w:t>
      </w:r>
      <w:r>
        <w:t xml:space="preserve"> </w:t>
      </w:r>
      <w:r>
        <w:t xml:space="preserve">a round of polish driven by hands-on review of the draft, all live on the preview:</w:t>
      </w:r>
    </w:p>
    <w:p>
      <w:pPr>
        <w:pStyle w:val="Compact"/>
        <w:numPr>
          <w:ilvl w:val="0"/>
          <w:numId w:val="1016"/>
        </w:numPr>
      </w:pPr>
      <w:r>
        <w:rPr>
          <w:b/>
          <w:bCs/>
        </w:rPr>
        <w:t xml:space="preserve">Data tables</w:t>
      </w:r>
      <w:r>
        <w:t xml:space="preserve"> </w:t>
      </w:r>
      <w:r>
        <w:t xml:space="preserve">in articles and datasets are restyled — alternating row shading for scanability and full-width layout at any column count, in both light and dark themes.</w:t>
      </w:r>
    </w:p>
    <w:p>
      <w:pPr>
        <w:pStyle w:val="Compact"/>
        <w:numPr>
          <w:ilvl w:val="0"/>
          <w:numId w:val="1016"/>
        </w:numPr>
      </w:pPr>
      <w:r>
        <w:rPr>
          <w:b/>
          <w:bCs/>
        </w:rPr>
        <w:t xml:space="preserve">“Load More Articles”</w:t>
      </w:r>
      <w:r>
        <w:t xml:space="preserve"> </w:t>
      </w:r>
      <w:r>
        <w:t xml:space="preserve">now works in place: a loading indicator appears, the new articles render below, and the page never moves. Article</w:t>
      </w:r>
      <w:r>
        <w:t xml:space="preserve"> </w:t>
      </w:r>
      <w:r>
        <w:rPr>
          <w:b/>
          <w:bCs/>
        </w:rPr>
        <w:t xml:space="preserve">table-of-contents links</w:t>
      </w:r>
      <w:r>
        <w:t xml:space="preserve"> </w:t>
      </w:r>
      <w:r>
        <w:t xml:space="preserve">glide smoothly to their section instead of jumping.</w:t>
      </w:r>
    </w:p>
    <w:p>
      <w:pPr>
        <w:pStyle w:val="Compact"/>
        <w:numPr>
          <w:ilvl w:val="0"/>
          <w:numId w:val="1016"/>
        </w:numPr>
      </w:pPr>
      <w:r>
        <w:rPr>
          <w:b/>
          <w:bCs/>
        </w:rPr>
        <w:t xml:space="preserve">Footnote references open in a small pop-up card</w:t>
      </w:r>
      <w:r>
        <w:t xml:space="preserve"> </w:t>
      </w:r>
      <w:r>
        <w:t xml:space="preserve">(with the citation and a link to its source) so readers keep their place in the article instead of being thrown to the bottom of the page; the full reference list still prints at the article’s end. The pop-up meets WCAG 2.1 AA contrast in both themes.</w:t>
      </w:r>
    </w:p>
    <w:p>
      <w:pPr>
        <w:pStyle w:val="Compact"/>
        <w:numPr>
          <w:ilvl w:val="0"/>
          <w:numId w:val="1016"/>
        </w:numPr>
      </w:pPr>
      <w:r>
        <w:rPr>
          <w:b/>
          <w:bCs/>
        </w:rPr>
        <w:t xml:space="preserve">A site-wide footnote defect was found and fixed the same day:</w:t>
      </w:r>
      <w:r>
        <w:t xml:space="preserve"> </w:t>
      </w:r>
      <w:r>
        <w:t xml:space="preserve">52 articles were displaying raw footnote codes (like</w:t>
      </w:r>
      <w:r>
        <w:t xml:space="preserve"> </w:t>
      </w:r>
      <w:r>
        <w:rPr>
          <w:rStyle w:val="VerbatimChar"/>
        </w:rPr>
        <w:t xml:space="preserve">[^6]</w:t>
      </w:r>
      <w:r>
        <w:t xml:space="preserve">) instead of numbered references — a long-standing content-formatting quirk the old Hub tolerated silently. The new rendering pipeline now corrects 43 of them automatically; the remaining 9 have defects in the stored article text itself, and a</w:t>
      </w:r>
      <w:r>
        <w:t xml:space="preserve"> </w:t>
      </w:r>
      <w:r>
        <w:rPr>
          <w:b/>
          <w:bCs/>
        </w:rPr>
        <w:t xml:space="preserve">paste-ready correction package</w:t>
      </w:r>
      <w:r>
        <w:t xml:space="preserve"> </w:t>
      </w:r>
      <w:r>
        <w:t xml:space="preserve">for the CMS sits in the repository (</w:t>
      </w:r>
      <w:r>
        <w:rPr>
          <w:rStyle w:val="VerbatimChar"/>
        </w:rPr>
        <w:t xml:space="preserve">docs/footnote-fixes/</w:t>
      </w:r>
      <w:r>
        <w:t xml:space="preserve">), including two lost citations recovered from the original PDF report and one article whose references 3–14 were silently pointing at the</w:t>
      </w:r>
      <w:r>
        <w:t xml:space="preserve"> </w:t>
      </w:r>
      <w:r>
        <w:rPr>
          <w:i/>
          <w:iCs/>
        </w:rPr>
        <w:t xml:space="preserve">wrong</w:t>
      </w:r>
      <w:r>
        <w:t xml:space="preserve"> </w:t>
      </w:r>
      <w:r>
        <w:t xml:space="preserve">sources.</w:t>
      </w:r>
    </w:p>
    <w:p>
      <w:pPr>
        <w:pStyle w:val="Compact"/>
        <w:numPr>
          <w:ilvl w:val="0"/>
          <w:numId w:val="1016"/>
        </w:numPr>
      </w:pPr>
      <w:r>
        <w:rPr>
          <w:b/>
          <w:bCs/>
        </w:rPr>
        <w:t xml:space="preserve">The automated guardrails earned their keep:</w:t>
      </w:r>
      <w:r>
        <w:t xml:space="preserve"> </w:t>
      </w:r>
      <w:r>
        <w:t xml:space="preserve">the performance gate caught a small page-speed regression introduced by one of these fixes and blocked it; it was corrected and re-shipped within the hour. A related image bug (thumbnails failing to load on articles revealed by</w:t>
      </w:r>
      <w:r>
        <w:t xml:space="preserve"> </w:t>
      </w:r>
      <w:r>
        <w:t xml:space="preserve">“Load More”</w:t>
      </w:r>
      <w:r>
        <w:t xml:space="preserve">) was also found and fixed.</w:t>
      </w:r>
    </w:p>
    <w:p>
      <w:pPr>
        <w:pStyle w:val="FirstParagraph"/>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p>
      <w:r>
        <w:pict>
          <v:rect style="width:0;height:1.5pt" o:hralign="center" o:hrstd="t" o:hr="t"/>
        </w:pict>
      </w:r>
    </w:p>
    <w:bookmarkEnd w:id="25"/>
    <w:bookmarkEnd w:id="26"/>
    <w:bookmarkStart w:id="31" w:name="part-ii--for-developers"/>
    <w:p>
      <w:pPr>
        <w:pStyle w:val="Heading1"/>
      </w:pPr>
      <w:r>
        <w:t xml:space="preserve">Part II — For Developers</w:t>
      </w:r>
    </w:p>
    <w:bookmarkStart w:id="27"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7"/>
    <w:bookmarkStart w:id="28"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8"/>
    <w:bookmarkStart w:id="29"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9"/>
    <w:bookmarkStart w:id="30" w:name="success-criteria-definition-of-done"/>
    <w:p>
      <w:pPr>
        <w:pStyle w:val="Heading2"/>
      </w:pPr>
      <w:r>
        <w:t xml:space="preserve">Success criteria (definition of done)</w:t>
      </w:r>
    </w:p>
    <w:p>
      <w:pPr>
        <w:pStyle w:val="Compact"/>
        <w:numPr>
          <w:ilvl w:val="0"/>
          <w:numId w:val="1017"/>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7"/>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7"/>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7"/>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7"/>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7"/>
        </w:numPr>
      </w:pPr>
      <w:r>
        <w:rPr>
          <w:b/>
          <w:bCs/>
        </w:rPr>
        <w:t xml:space="preserve">SEO:</w:t>
      </w:r>
      <w:r>
        <w:t xml:space="preserve"> </w:t>
      </w:r>
      <w:r>
        <w:t xml:space="preserve">sitemap, canonicals, JSON-LD, OG metadata validated; Plausible continuity demonstrated across cutover.</w:t>
      </w:r>
    </w:p>
    <w:p>
      <w:pPr>
        <w:pStyle w:val="Compact"/>
        <w:numPr>
          <w:ilvl w:val="0"/>
          <w:numId w:val="1017"/>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7"/>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30"/>
    <w:bookmarkEnd w:id="31"/>
    <w:bookmarkStart w:id="37"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2"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2"/>
    <w:bookmarkStart w:id="33"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3"/>
    <w:bookmarkStart w:id="34"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4"/>
    <w:bookmarkStart w:id="35"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5"/>
    <w:bookmarkStart w:id="36" w:name="a5-minor-defects-curated-30"/>
    <w:p>
      <w:pPr>
        <w:pStyle w:val="Heading2"/>
      </w:pPr>
      <w:r>
        <w:t xml:space="preserve">A.5 Minor defects (curated, 30)</w:t>
      </w:r>
    </w:p>
    <w:p>
      <w:pPr>
        <w:pStyle w:val="Compact"/>
        <w:numPr>
          <w:ilvl w:val="0"/>
          <w:numId w:val="1018"/>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8"/>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8"/>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8"/>
        </w:numPr>
      </w:pPr>
      <w:r>
        <w:t xml:space="preserve">UTC date formatting shifts evening timestamps a day backward (US-Central).</w:t>
      </w:r>
    </w:p>
    <w:p>
      <w:pPr>
        <w:pStyle w:val="Compact"/>
        <w:numPr>
          <w:ilvl w:val="0"/>
          <w:numId w:val="1018"/>
        </w:numPr>
      </w:pPr>
      <w:r>
        <w:t xml:space="preserve">Preview layout permanently overwrites the visitor’s color-mode preference.</w:t>
      </w:r>
    </w:p>
    <w:p>
      <w:pPr>
        <w:pStyle w:val="Compact"/>
        <w:numPr>
          <w:ilvl w:val="0"/>
          <w:numId w:val="1018"/>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8"/>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8"/>
        </w:numPr>
      </w:pPr>
      <w:r>
        <w:t xml:space="preserve">Tailwind class strings and icon names stored in CMS fields (purge/safelist trap).</w:t>
      </w:r>
    </w:p>
    <w:p>
      <w:pPr>
        <w:pStyle w:val="Compact"/>
        <w:numPr>
          <w:ilvl w:val="0"/>
          <w:numId w:val="1018"/>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8"/>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8"/>
        </w:numPr>
      </w:pPr>
      <w:r>
        <w:t xml:space="preserve">Image-URL prefixing logic triplicated.</w:t>
      </w:r>
    </w:p>
    <w:p>
      <w:pPr>
        <w:pStyle w:val="Compact"/>
        <w:numPr>
          <w:ilvl w:val="0"/>
          <w:numId w:val="1018"/>
        </w:numPr>
      </w:pPr>
      <w:r>
        <w:t xml:space="preserve">“No Image”</w:t>
      </w:r>
      <w:r>
        <w:t xml:space="preserve"> </w:t>
      </w:r>
      <w:r>
        <w:t xml:space="preserve">placeholder at ~1.9:1 contrast; inline styles mixed with utilities.</w:t>
      </w:r>
    </w:p>
    <w:p>
      <w:pPr>
        <w:pStyle w:val="Compact"/>
        <w:numPr>
          <w:ilvl w:val="0"/>
          <w:numId w:val="1018"/>
        </w:numPr>
      </w:pPr>
      <w:r>
        <w:t xml:space="preserve">Off-palette hovers; carousel arrows misbehave at bounds; fixed 420px card basis breaks small viewports.</w:t>
      </w:r>
    </w:p>
    <w:p>
      <w:pPr>
        <w:pStyle w:val="Compact"/>
        <w:numPr>
          <w:ilvl w:val="0"/>
          <w:numId w:val="1018"/>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8"/>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8"/>
        </w:numPr>
      </w:pPr>
      <w:r>
        <w:t xml:space="preserve">CSS-hack placeholder text invisible to assistive tech.</w:t>
      </w:r>
    </w:p>
    <w:p>
      <w:pPr>
        <w:pStyle w:val="Compact"/>
        <w:numPr>
          <w:ilvl w:val="0"/>
          <w:numId w:val="1018"/>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8"/>
        </w:numPr>
      </w:pPr>
      <w:r>
        <w:rPr>
          <w:rStyle w:val="VerbatimChar"/>
        </w:rPr>
        <w:t xml:space="preserve">formatDate</w:t>
      </w:r>
      <w:r>
        <w:t xml:space="preserve"> </w:t>
      </w:r>
      <w:r>
        <w:t xml:space="preserve">reimplemented in three places despite a util existing.</w:t>
      </w:r>
    </w:p>
    <w:p>
      <w:pPr>
        <w:pStyle w:val="Compact"/>
        <w:numPr>
          <w:ilvl w:val="0"/>
          <w:numId w:val="1018"/>
        </w:numPr>
      </w:pPr>
      <w:r>
        <w:t xml:space="preserve">Hardcoded CMS media URLs (hero images, og:image) in templates — a re-upload breaks the homepage.</w:t>
      </w:r>
    </w:p>
    <w:p>
      <w:pPr>
        <w:pStyle w:val="Compact"/>
        <w:numPr>
          <w:ilvl w:val="0"/>
          <w:numId w:val="1018"/>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8"/>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8"/>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8"/>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8"/>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8"/>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8"/>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8"/>
        </w:numPr>
      </w:pPr>
      <w:r>
        <w:rPr>
          <w:rStyle w:val="VerbatimChar"/>
        </w:rPr>
        <w:t xml:space="preserve">slugify</w:t>
      </w:r>
      <w:r>
        <w:t xml:space="preserve"> </w:t>
      </w:r>
      <w:r>
        <w:t xml:space="preserve">heading-ID collisions (duplicate headings).</w:t>
      </w:r>
    </w:p>
    <w:p>
      <w:pPr>
        <w:pStyle w:val="Compact"/>
        <w:numPr>
          <w:ilvl w:val="0"/>
          <w:numId w:val="1018"/>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8"/>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8"/>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6"/>
    <w:bookmarkEnd w:id="37"/>
    <w:bookmarkStart w:id="38"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8"/>
    <w:bookmarkStart w:id="39"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9"/>
    <w:bookmarkStart w:id="40" w:name="X8e127df9c12176fb20b75c96653728f7de60746"/>
    <w:p>
      <w:pPr>
        <w:pStyle w:val="Heading1"/>
      </w:pPr>
      <w:r>
        <w:t xml:space="preserve">Appendix D — Glossary (for non-technical readers)</w:t>
      </w:r>
    </w:p>
    <w:p>
      <w:pPr>
        <w:pStyle w:val="Compact"/>
        <w:numPr>
          <w:ilvl w:val="0"/>
          <w:numId w:val="1019"/>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9"/>
        </w:numPr>
      </w:pPr>
      <w:r>
        <w:rPr>
          <w:b/>
          <w:bCs/>
        </w:rPr>
        <w:t xml:space="preserve">Headless CMS:</w:t>
      </w:r>
      <w:r>
        <w:t xml:space="preserve"> </w:t>
      </w:r>
      <w:r>
        <w:t xml:space="preserve">a CMS that only stores content; a separate website (Copperhead) presents it.</w:t>
      </w:r>
    </w:p>
    <w:p>
      <w:pPr>
        <w:pStyle w:val="Compact"/>
        <w:numPr>
          <w:ilvl w:val="0"/>
          <w:numId w:val="1019"/>
        </w:numPr>
      </w:pPr>
      <w:r>
        <w:rPr>
          <w:b/>
          <w:bCs/>
        </w:rPr>
        <w:t xml:space="preserve">API:</w:t>
      </w:r>
      <w:r>
        <w:t xml:space="preserve"> </w:t>
      </w:r>
      <w:r>
        <w:t xml:space="preserve">the channel a website uses to ask the CMS for content.</w:t>
      </w:r>
    </w:p>
    <w:p>
      <w:pPr>
        <w:pStyle w:val="Compact"/>
        <w:numPr>
          <w:ilvl w:val="0"/>
          <w:numId w:val="1019"/>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9"/>
        </w:numPr>
      </w:pPr>
      <w:r>
        <w:rPr>
          <w:b/>
          <w:bCs/>
        </w:rPr>
        <w:t xml:space="preserve">CDN:</w:t>
      </w:r>
      <w:r>
        <w:t xml:space="preserve"> </w:t>
      </w:r>
      <w:r>
        <w:t xml:space="preserve">the network of servers that delivers those static files fast, everywhere.</w:t>
      </w:r>
    </w:p>
    <w:p>
      <w:pPr>
        <w:pStyle w:val="Compact"/>
        <w:numPr>
          <w:ilvl w:val="0"/>
          <w:numId w:val="1019"/>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9"/>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9"/>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9"/>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9"/>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9"/>
        </w:numPr>
      </w:pPr>
      <w:r>
        <w:rPr>
          <w:b/>
          <w:bCs/>
        </w:rPr>
        <w:t xml:space="preserve">Plausible:</w:t>
      </w:r>
      <w:r>
        <w:t xml:space="preserve"> </w:t>
      </w:r>
      <w:r>
        <w:t xml:space="preserve">the privacy-friendly analytics service that counts our traffic.</w:t>
      </w:r>
    </w:p>
    <w:p>
      <w:pPr>
        <w:pStyle w:val="Compact"/>
        <w:numPr>
          <w:ilvl w:val="0"/>
          <w:numId w:val="1019"/>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9"/>
        </w:numPr>
      </w:pPr>
      <w:r>
        <w:rPr>
          <w:b/>
          <w:bCs/>
        </w:rPr>
        <w:t xml:space="preserve">Codename:</w:t>
      </w:r>
      <w:r>
        <w:t xml:space="preserve"> </w:t>
      </w:r>
      <w:r>
        <w:t xml:space="preserve">an internal project label (see Section 2); retired at launch.</w:t>
      </w:r>
    </w:p>
    <w:p>
      <w:pPr>
        <w:pStyle w:val="Compact"/>
        <w:numPr>
          <w:ilvl w:val="0"/>
          <w:numId w:val="1019"/>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9"/>
        </w:numPr>
      </w:pPr>
      <w:r>
        <w:rPr>
          <w:b/>
          <w:bCs/>
        </w:rPr>
        <w:t xml:space="preserve">ADR (Architecture Decision Record):</w:t>
      </w:r>
      <w:r>
        <w:t xml:space="preserve"> </w:t>
      </w:r>
      <w:r>
        <w:t xml:space="preserve">a one-page written record of a significant technical decision and why it was made.</w:t>
      </w:r>
    </w:p>
    <w:bookmarkEnd w:id="40"/>
    <w:bookmarkStart w:id="50"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2">
              <w:r>
                <w:rPr>
                  <w:rStyle w:val="VerbatimChar"/>
                </w:rPr>
                <w:t xml:space="preserve">https://icjia.illinois.gov/researchhub/</w:t>
              </w:r>
            </w:hyperlink>
          </w:p>
        </w:tc>
      </w:tr>
      <w:tr>
        <w:tc>
          <w:tcPr/>
          <w:p>
            <w:pPr>
              <w:pStyle w:val="Compact"/>
            </w:pPr>
            <w:r>
              <w:t xml:space="preserve">ICJIA main website</w:t>
            </w:r>
          </w:p>
        </w:tc>
        <w:tc>
          <w:tcPr/>
          <w:p>
            <w:pPr>
              <w:pStyle w:val="Compact"/>
            </w:pPr>
            <w:hyperlink r:id="rId41">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2">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3">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4">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5">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9">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5">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4">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6">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7">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6">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7">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8">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9">
              <w:r>
                <w:rPr>
                  <w:rStyle w:val="VerbatimChar"/>
                </w:rPr>
                <w:t xml:space="preserve">https://doit.illinois.gov</w:t>
              </w:r>
            </w:hyperlink>
            <w:r>
              <w:t xml:space="preserve"> </w:t>
            </w:r>
            <w:r>
              <w:t xml:space="preserve">(Accessibility section)</w:t>
            </w:r>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doit.illinois.gov" TargetMode="External" /><Relationship Type="http://schemas.openxmlformats.org/officeDocument/2006/relationships/hyperlink" Id="rId45"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6"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1"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3" Target="https://researchhub.icjia-api.cloud" TargetMode="External" /><Relationship Type="http://schemas.openxmlformats.org/officeDocument/2006/relationships/hyperlink" Id="rId42" Target="https://v2-hub-demo.netlify.app/" TargetMode="External" /><Relationship Type="http://schemas.openxmlformats.org/officeDocument/2006/relationships/hyperlink" Id="rId44" Target="https://v2.hub.icjia-api.cloud" TargetMode="External" /><Relationship Type="http://schemas.openxmlformats.org/officeDocument/2006/relationships/hyperlink" Id="rId48" Target="https://www.ada.gov/resources/2024-03-08-web-rule/" TargetMode="External" /><Relationship Type="http://schemas.openxmlformats.org/officeDocument/2006/relationships/hyperlink" Id="rId47"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9" Target="https://doit.illinois.gov" TargetMode="External" /><Relationship Type="http://schemas.openxmlformats.org/officeDocument/2006/relationships/hyperlink" Id="rId45"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6"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1"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3" Target="https://researchhub.icjia-api.cloud" TargetMode="External" /><Relationship Type="http://schemas.openxmlformats.org/officeDocument/2006/relationships/hyperlink" Id="rId42" Target="https://v2-hub-demo.netlify.app/" TargetMode="External" /><Relationship Type="http://schemas.openxmlformats.org/officeDocument/2006/relationships/hyperlink" Id="rId44" Target="https://v2.hub.icjia-api.cloud" TargetMode="External" /><Relationship Type="http://schemas.openxmlformats.org/officeDocument/2006/relationships/hyperlink" Id="rId48" Target="https://www.ada.gov/resources/2024-03-08-web-rule/" TargetMode="External" /><Relationship Type="http://schemas.openxmlformats.org/officeDocument/2006/relationships/hyperlink" Id="rId47"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2026-07-16T14:39:42Z</dcterms:created>
  <dcterms:modified xsi:type="dcterms:W3CDTF">2026-07-16T14:39:42Z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continuously updated — last revised 2026-07-16 (tracks app v0.24.0)</vt:lpwstr>
  </property>
  <property fmtid="{D5CDD505-2E9C-101B-9397-08002B2CF9AE}" pid="3" name="subtitle">
    <vt:lpwstr>ICJIA Research Hub 2.0 — Assessment of the Unfinished Rewrite and Roadmap to Completion</vt:lpwstr>
  </property>
</Properties>
</file>