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30,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3,011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127 / 127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774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1c840dd06fdc9450faa797764da0f884364eda"/>
    <w:p>
      <w:pPr>
        <w:pStyle w:val="Heading2"/>
      </w:pPr>
      <w:r>
        <w:t xml:space="preserve">We built 127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65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3,011 self-checks (every promise ever made, re-tested); the 127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74-changes.-142-versions."/>
    <w:p>
      <w:pPr>
        <w:pStyle w:val="Heading2"/>
      </w:pPr>
      <w:r>
        <w:t xml:space="preserve">Six months. 774 changes. 142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334 saved changes in the last 30 days alone, its battery of self-checks grown from about 1,500 in June to 3,011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127/127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12,369 check-ups for internal and external agencies, 127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3,011 self-checks.</w:t>
      </w:r>
      <w:r>
        <w:t xml:space="preserve"> </w:t>
      </w:r>
      <w:r>
        <w:t xml:space="preserve">Before anything new goes live, the software re-runs every promise it has ever made — all 3,011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7-trap-documents"/>
    <w:p>
      <w:pPr>
        <w:pStyle w:val="Heading2"/>
      </w:pPr>
      <w:r>
        <w:t xml:space="preserve">Appendix: the 127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2026-08-30T21:18:21Z</dcterms:created>
  <dcterms:modified xsi:type="dcterms:W3CDTF">2026-08-30T21:18:21Z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