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Make the Strapi host configurable for staging.</w:t>
            </w:r>
            <w:r>
              <w:t xml:space="preserve"> </w:t>
            </w:r>
            <w:r>
              <w:t xml:space="preserve">The backend URL is hardcoded (</w:t>
            </w:r>
            <w:r>
              <w:rPr>
                <w:rStyle w:val="VerbatimChar"/>
              </w:rPr>
              <w:t xml:space="preserve">studio.config.ts</w:t>
            </w:r>
            <w:r>
              <w:t xml:space="preserve">); the runbook's own warning says a staging build</w:t>
            </w:r>
            <w:r>
              <w:t xml:space="preserve"> </w:t>
            </w:r>
            <w:r>
              <w:rPr>
                <w:b/>
                <w:bCs/>
              </w:rPr>
              <w:t xml:space="preserve">writes to the production Strapi</w:t>
            </w:r>
            <w:r>
              <w:t xml:space="preserve"> </w:t>
            </w:r>
            <w:r>
              <w:t xml:space="preserve">unless the code is edited. Honor the already-documented</w:t>
            </w:r>
            <w:r>
              <w:t xml:space="preserve"> </w:t>
            </w:r>
            <w:r>
              <w:rPr>
                <w:rStyle w:val="VerbatimChar"/>
              </w:rPr>
              <w:t xml:space="preserve">NUXT_PUBLIC_STRAPI_BASE_URL</w:t>
            </w:r>
            <w:r>
              <w:t xml:space="preserve"> </w:t>
            </w:r>
            <w:r>
              <w:t xml:space="preserve">env override (it exists in</w:t>
            </w:r>
            <w:r>
              <w:t xml:space="preserve"> </w:t>
            </w:r>
            <w:r>
              <w:rPr>
                <w:rStyle w:val="VerbatimChar"/>
              </w:rPr>
              <w:t xml:space="preserve">.env.example</w:t>
            </w:r>
            <w:r>
              <w:t xml:space="preserve"> </w:t>
            </w:r>
            <w:r>
              <w:t xml:space="preserve">but the config ignores it), keeping the hardcoded value as default, and document the paired CSP</w:t>
            </w:r>
            <w:r>
              <w:t xml:space="preserve"> </w:t>
            </w:r>
            <w:r>
              <w:rPr>
                <w:rStyle w:val="VerbatimChar"/>
              </w:rPr>
              <w:t xml:space="preserve">connect-src</w:t>
            </w:r>
            <w:r>
              <w:t xml:space="preserve"> </w:t>
            </w:r>
            <w:r>
              <w:t xml:space="preserve">change.</w:t>
            </w:r>
          </w:p>
        </w:tc>
        <w:tc>
          <w:tcPr/>
          <w:p>
            <w:pPr>
              <w:pStyle w:val="Compact"/>
            </w:pPr>
            <w:r>
              <w:t xml:space="preserve">Removes the sharpest edge in the launch plan: a rehearsal that can touch production data. Test-content hygiene (the runbook's current mitigation) works, but a config switch is safer than discipline.</w:t>
            </w:r>
          </w:p>
        </w:tc>
        <w:tc>
          <w:tcPr/>
          <w:p>
            <w:pPr>
              <w:pStyle w:val="Compact"/>
            </w:pPr>
            <w:r>
              <w:rPr>
                <w:rStyle w:val="VerbatimChar"/>
              </w:rPr>
              <w:t xml:space="preserve">studio.config.ts:9</w:t>
            </w:r>
            <w:r>
              <w:t xml:space="preserve">; runbook §2 warning;</w:t>
            </w:r>
            <w:r>
              <w:t xml:space="preserve"> </w:t>
            </w:r>
            <w:r>
              <w:rPr>
                <w:rStyle w:val="VerbatimChar"/>
              </w:rPr>
              <w:t xml:space="preserve">.env.example</w:t>
            </w:r>
          </w:p>
        </w:tc>
        <w:tc>
          <w:tcPr/>
          <w:p>
            <w:pPr>
              <w:pStyle w:val="Compact"/>
            </w:pPr>
            <w:r>
              <w:t xml:space="preserve">0.5 day</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decided/implemented;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t xml:space="preserve">Medium today</w:t>
            </w:r>
          </w:p>
        </w:tc>
        <w:tc>
          <w:tcPr/>
          <w:p>
            <w:pPr>
              <w:pStyle w:val="Compact"/>
            </w:pPr>
            <w:r>
              <w:t xml:space="preserve">Medium</w:t>
            </w:r>
          </w:p>
        </w:tc>
        <w:tc>
          <w:tcPr/>
          <w:p>
            <w:pPr>
              <w:pStyle w:val="Compact"/>
            </w:pPr>
            <w:r>
              <w:t xml:space="preserve">§5.4-8 host override; until then, runbook's throwaway-content hygiene</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v0.4.0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design approved, build underway.</w:t>
      </w:r>
      <w:r>
        <w:t xml:space="preserve"> </w:t>
      </w:r>
      <w:r>
        <w:t xml:space="preserve">Every image</w:t>
      </w:r>
      <w:r>
        <w:t xml:space="preserve"> </w:t>
      </w:r>
      <w:r>
        <w:t xml:space="preserve">surface will open on the ~20 newest Media Library images (searchable) with</w:t>
      </w:r>
      <w:r>
        <w:t xml:space="preserve"> </w:t>
      </w:r>
      <w:r>
        <w:t xml:space="preserve">upload-from-desktop one tab away; picking an image that lacks alt text requires supplying</w:t>
      </w:r>
      <w:r>
        <w:t xml:space="preserve"> </w:t>
      </w:r>
      <w:r>
        <w:t xml:space="preserve">it, which is written back to the shared library. Works identically in the public demo,</w:t>
      </w:r>
      <w:r>
        <w:t xml:space="preserve"> </w:t>
      </w:r>
      <w:r>
        <w:t xml:space="preserve">where nothing persists.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v0.4.0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8"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7"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 Staging writes to the PRODUCTION Strapi.</w:t>
      </w:r>
      <w:r>
        <w:t xml:space="preserve"> </w:t>
      </w:r>
      <w:r>
        <w:rPr>
          <w:rStyle w:val="VerbatimChar"/>
        </w:rPr>
        <w:t xml:space="preserve">strapiBaseUrl</w:t>
      </w:r>
      <w:r>
        <w:t xml:space="preserve"> </w:t>
      </w:r>
      <w:r>
        <w:t xml:space="preserve">is hardcoded to</w:t>
      </w:r>
      <w:r>
        <w:t xml:space="preserve"> </w:t>
      </w:r>
      <w:r>
        <w:rPr>
          <w:rStyle w:val="VerbatimChar"/>
        </w:rPr>
        <w:t xml:space="preserve">https://v2.hub.icjia-api.cloud</w:t>
      </w:r>
      <w:r>
        <w:t xml:space="preserve"> </w:t>
      </w:r>
      <w:r>
        <w:t xml:space="preserve">whenever the demo flag is unset (</w:t>
      </w:r>
      <w:r>
        <w:rPr>
          <w:rStyle w:val="VerbatimChar"/>
        </w:rPr>
        <w:t xml:space="preserve">studio.config.ts</w:t>
      </w:r>
      <w:r>
        <w:t xml:space="preserve">) —</w:t>
      </w:r>
      <w:r>
        <w:t xml:space="preserve"> </w:t>
      </w:r>
      <w:r>
        <w:t xml:space="preserve">there is no separate staging backend unless you temporarily edit that line (and the</w:t>
      </w:r>
      <w:r>
        <w:t xml:space="preserve"> </w:t>
      </w:r>
      <w:r>
        <w:rPr>
          <w:rStyle w:val="VerbatimChar"/>
        </w:rPr>
        <w:t xml:space="preserve">connect-src</w:t>
      </w:r>
      <w:r>
        <w:t xml:space="preserve"> </w:t>
      </w:r>
      <w:r>
        <w:t xml:space="preserve">in</w:t>
      </w:r>
      <w:r>
        <w:t xml:space="preserve"> </w:t>
      </w:r>
      <w:r>
        <w:rPr>
          <w:rStyle w:val="VerbatimChar"/>
        </w:rPr>
        <w:t xml:space="preserve">public/_headers</w:t>
      </w:r>
      <w:r>
        <w:t xml:space="preserve">) to point at one. If you validate against production:</w:t>
      </w:r>
      <w:r>
        <w:t xml:space="preserve"> </w:t>
      </w:r>
      <w:r>
        <w:t xml:space="preserve">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2"/>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3"/>
        </w:numPr>
      </w:pPr>
      <w:r>
        <w:t xml:space="preserve">Publish + unpublish an article as Editor; confirm on the public Hub side.</w:t>
      </w:r>
    </w:p>
    <w:p>
      <w:pPr>
        <w:pStyle w:val="Compact"/>
        <w:numPr>
          <w:ilvl w:val="0"/>
          <w:numId w:val="1094"/>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5"/>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6"/>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7"/>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4" w:name="toc57"/>
    <w:p>
      <w:pPr>
        <w:pStyle w:val="Heading3"/>
      </w:pPr>
      <w:r>
        <w:t xml:space="preserve">4. Cutover day (≈30 minutes once §1–§3 are done)</w:t>
      </w:r>
    </w:p>
    <w:p>
      <w:pPr>
        <w:pStyle w:val="Compact"/>
        <w:numPr>
          <w:ilvl w:val="0"/>
          <w:numId w:val="1098"/>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098"/>
        </w:numPr>
      </w:pPr>
      <w:r>
        <w:t xml:space="preserve">Flip the production site's build settings + env per §3 (or merge the production TOML).</w:t>
      </w:r>
    </w:p>
    <w:p>
      <w:pPr>
        <w:pStyle w:val="Compact"/>
        <w:numPr>
          <w:ilvl w:val="0"/>
          <w:numId w:val="1098"/>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098"/>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098"/>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098"/>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098"/>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44"/>
    <w:bookmarkStart w:id="145"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099"/>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099"/>
        </w:numPr>
      </w:pPr>
      <w:r>
        <w:t xml:space="preserve">Bad config → restore §3 settings; redeploy.</w:t>
      </w:r>
    </w:p>
    <w:p>
      <w:pPr>
        <w:pStyle w:val="Compact"/>
        <w:numPr>
          <w:ilvl w:val="0"/>
          <w:numId w:val="1099"/>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5"/>
    <w:bookmarkStart w:id="146" w:name="toc59"/>
    <w:p>
      <w:pPr>
        <w:pStyle w:val="Heading3"/>
      </w:pPr>
      <w:r>
        <w:t xml:space="preserve">6. Known launch-posture decisions (documented, deliberate)</w:t>
      </w:r>
    </w:p>
    <w:p>
      <w:pPr>
        <w:pStyle w:val="Compact"/>
        <w:numPr>
          <w:ilvl w:val="0"/>
          <w:numId w:val="1100"/>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0"/>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0"/>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0"/>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0"/>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0"/>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2026-07-16T15:38:28Z</dcterms:created>
  <dcterms:modified xsi:type="dcterms:W3CDTF">2026-07-16T15:38:28Z</dcterms:modified>
</cp:coreProperties>
</file>

<file path=docProps/custom.xml><?xml version="1.0" encoding="utf-8"?>
<Properties xmlns="http://schemas.openxmlformats.org/officeDocument/2006/custom-properties" xmlns:vt="http://schemas.openxmlformats.org/officeDocument/2006/docPropsVTypes"/>
</file>