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roles/CI). The Studio is feature-complete in the workshop with a public</w:t>
      </w:r>
      <w:r>
        <w:rPr>
          <w:i/>
          <w:iCs/>
        </w:rPr>
        <w:t xml:space="preserve"> </w:t>
      </w:r>
      <w:r>
        <w:rPr>
          <w:i/>
          <w:iCs/>
        </w:rPr>
        <w:t xml:space="preserve">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</w:t>
      </w:r>
      <w:r>
        <w:rPr>
          <w:i/>
          <w:iCs/>
        </w:rPr>
        <w:t xml:space="preserve"> </w:t>
      </w:r>
      <w:r>
        <w:rPr>
          <w:i/>
          <w:iCs/>
        </w:rPr>
        <w:t xml:space="preserve">the remaining setup and go-live steps in Section 4 are completed. Nothing</w:t>
      </w:r>
      <w:r>
        <w:rPr>
          <w:i/>
          <w:iCs/>
        </w:rPr>
        <w:t xml:space="preserve"> </w:t>
      </w:r>
      <w:r>
        <w:rPr>
          <w:i/>
          <w:iCs/>
        </w:rPr>
        <w:t xml:space="preserve">described here publishes to the live system yet.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2026-07-11T13:06:47Z</dcterms:created>
  <dcterms:modified xsi:type="dcterms:W3CDTF">2026-07-11T13:06:47Z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