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picker: design approved, build underway.</w:t>
      </w:r>
      <w:r>
        <w:t xml:space="preserve"> </w:t>
      </w:r>
      <w:r>
        <w:t xml:space="preserve">Every image</w:t>
      </w:r>
      <w:r>
        <w:t xml:space="preserve"> </w:t>
      </w:r>
      <w:r>
        <w:t xml:space="preserve">surface will open on the ~20 newest Media Library images (searchable) with</w:t>
      </w:r>
      <w:r>
        <w:t xml:space="preserve"> </w:t>
      </w:r>
      <w:r>
        <w:t xml:space="preserve">upload-from-desktop one tab away; picking an image that lacks alt text requires supplying</w:t>
      </w:r>
      <w:r>
        <w:t xml:space="preserve"> </w:t>
      </w:r>
      <w:r>
        <w:t xml:space="preserve">it, which is written back to the shared library. Works identically in the public demo,</w:t>
      </w:r>
      <w:r>
        <w:t xml:space="preserve"> </w:t>
      </w:r>
      <w:r>
        <w:t xml:space="preserve">where nothing persists.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v0.4.0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2026-07-16T15:38:27Z</dcterms:created>
  <dcterms:modified xsi:type="dcterms:W3CDTF">2026-07-16T15:38:27Z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